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常州市新北区公共卫生康复中心及突发公共卫生事件应急隔离场所建设所需</w:t>
      </w:r>
      <w:r>
        <w:rPr>
          <w:rFonts w:hint="eastAsia" w:ascii="宋体" w:hAnsi="宋体" w:cs="宋体"/>
          <w:bCs/>
          <w:color w:val="000000"/>
          <w:sz w:val="36"/>
          <w:szCs w:val="36"/>
          <w:highlight w:val="none"/>
          <w:lang w:eastAsia="zh-CN"/>
        </w:rPr>
        <w:t xml:space="preserve">内镜洗消一体机</w:t>
      </w:r>
      <w:r>
        <w:rPr>
          <w:rFonts w:hint="eastAsia" w:ascii="宋体" w:hAnsi="宋体" w:cs="宋体"/>
          <w:bCs/>
          <w:color w:val="000000"/>
          <w:sz w:val="36"/>
          <w:szCs w:val="36"/>
          <w:highlight w:val="none"/>
        </w:rPr>
        <w:t xml:space="preserve">采购项目</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JSZC-320411-CTZB-G2025-0312</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常州国家高新技术产业开发区（新北区）卫生健康局</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4"/>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4"/>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126"/>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9"/>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9"/>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9"/>
          <w:color w:val="000000"/>
          <w:sz w:val="32"/>
          <w:szCs w:val="32"/>
          <w:highlight w:val="none"/>
        </w:rPr>
        <w:t xml:space="preserve">第三章   资</w:t>
      </w:r>
      <w:bookmarkStart w:id="1" w:name="_Hlt100754117"/>
      <w:r>
        <w:rPr>
          <w:rStyle w:val="1149"/>
          <w:color w:val="000000"/>
          <w:sz w:val="32"/>
          <w:szCs w:val="32"/>
          <w:highlight w:val="none"/>
        </w:rPr>
        <w:t xml:space="preserve">格</w:t>
      </w:r>
      <w:bookmarkEnd w:id="1"/>
      <w:r>
        <w:rPr>
          <w:rStyle w:val="1149"/>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9"/>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9"/>
          <w:color w:val="000000"/>
          <w:sz w:val="32"/>
          <w:szCs w:val="32"/>
          <w:highlight w:val="none"/>
        </w:rPr>
        <w:t xml:space="preserve">第五章   采购</w:t>
      </w:r>
      <w:bookmarkStart w:id="2" w:name="_Hlt100754102"/>
      <w:r/>
      <w:bookmarkStart w:id="3" w:name="_Hlt100754103"/>
      <w:r>
        <w:rPr>
          <w:rStyle w:val="1149"/>
          <w:color w:val="000000"/>
          <w:sz w:val="32"/>
          <w:szCs w:val="32"/>
          <w:highlight w:val="none"/>
        </w:rPr>
        <w:t xml:space="preserve">需</w:t>
      </w:r>
      <w:bookmarkEnd w:id="2"/>
      <w:r/>
      <w:bookmarkEnd w:id="3"/>
      <w:r>
        <w:rPr>
          <w:rStyle w:val="1149"/>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9"/>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9"/>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lang w:eastAsia="zh-CN"/>
        </w:rPr>
        <w:t xml:space="preserve">常州市新北区公共卫生康复中心及突发公共卫生事件应急隔离场所建设所需内镜洗消一体机采购项目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JSZC-320411-CTZB-G2025-0312</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常州市新北区公共卫生康复中心及突发公共卫生事件应急隔离场所建设所需内镜洗消一体机采购项目</w:t>
      </w:r>
      <w:r>
        <w:rPr>
          <w:rFonts w:hint="eastAsia" w:ascii="仿宋" w:hAnsi="仿宋" w:eastAsia="仿宋"/>
          <w:color w:val="000000"/>
          <w:sz w:val="32"/>
          <w:szCs w:val="32"/>
          <w:highlight w:val="none"/>
          <w:lang w:eastAsia="zh-CN"/>
        </w:rPr>
      </w:r>
      <w:r/>
    </w:p>
    <w:p>
      <w:pPr>
        <w:pStyle w:val="1074"/>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60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50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41"/>
        <w:gridCol w:w="1640"/>
        <w:gridCol w:w="917"/>
        <w:gridCol w:w="4035"/>
      </w:tblGrid>
      <w:tr>
        <w:trPr>
          <w:trHeight w:val="454"/>
        </w:trPr>
        <w:tc>
          <w:tcPr>
            <w:tcW w:w="381"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1050"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87"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496"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83" w:type="dxa"/>
            <w:vAlign w:val="center"/>
            <w:textDirection w:val="lrTb"/>
            <w:noWrap w:val="false"/>
          </w:tcPr>
          <w:p>
            <w:pPr>
              <w:pStyle w:val="1074"/>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1"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1050" w:type="dxa"/>
            <w:vAlign w:val="center"/>
            <w:textDirection w:val="lrTb"/>
            <w:noWrap w:val="false"/>
          </w:tcPr>
          <w:p>
            <w:pPr>
              <w:pStyle w:val="1074"/>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内镜洗消一体机</w:t>
            </w:r>
            <w:r>
              <w:rPr>
                <w:rFonts w:hint="eastAsia" w:ascii="仿宋" w:hAnsi="仿宋" w:eastAsia="仿宋"/>
                <w:bCs/>
                <w:color w:val="000000"/>
                <w:sz w:val="32"/>
                <w:szCs w:val="32"/>
                <w:highlight w:val="none"/>
                <w:lang w:eastAsia="zh-CN"/>
              </w:rPr>
            </w:r>
            <w:r/>
          </w:p>
        </w:tc>
        <w:tc>
          <w:tcPr>
            <w:tcW w:w="887" w:type="dxa"/>
            <w:vAlign w:val="center"/>
            <w:textDirection w:val="lrTb"/>
            <w:noWrap w:val="false"/>
          </w:tcPr>
          <w:p>
            <w:pPr>
              <w:pStyle w:val="1074"/>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6</w:t>
            </w:r>
            <w:r>
              <w:rPr>
                <w:rFonts w:hint="eastAsia" w:ascii="仿宋" w:hAnsi="仿宋" w:eastAsia="仿宋"/>
                <w:bCs/>
                <w:color w:val="000000"/>
                <w:sz w:val="32"/>
                <w:szCs w:val="32"/>
                <w:highlight w:val="none"/>
                <w:lang w:val="en-US" w:eastAsia="zh-CN"/>
              </w:rPr>
              <w:t xml:space="preserve">0</w:t>
            </w:r>
            <w:r>
              <w:rPr>
                <w:rFonts w:ascii="仿宋" w:hAnsi="仿宋" w:eastAsia="仿宋"/>
                <w:bCs/>
                <w:color w:val="000000"/>
                <w:sz w:val="32"/>
                <w:szCs w:val="32"/>
                <w:highlight w:val="none"/>
                <w:lang w:val="en-US" w:eastAsia="zh-CN"/>
              </w:rPr>
            </w:r>
            <w:r/>
          </w:p>
        </w:tc>
        <w:tc>
          <w:tcPr>
            <w:tcW w:w="496"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183" w:type="dxa"/>
            <w:vAlign w:val="center"/>
            <w:textDirection w:val="lrTb"/>
            <w:noWrap w:val="false"/>
          </w:tcPr>
          <w:p>
            <w:pPr>
              <w:pStyle w:val="1074"/>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ascii="仿宋" w:hAnsi="仿宋" w:eastAsia="仿宋"/>
          <w:color w:val="000000"/>
          <w:sz w:val="32"/>
          <w:szCs w:val="32"/>
          <w:highlight w:val="none"/>
        </w:rPr>
        <w:t xml:space="preserve">30</w:t>
      </w:r>
      <w:r>
        <w:rPr>
          <w:rFonts w:hint="eastAsia" w:ascii="仿宋" w:hAnsi="仿宋" w:eastAsia="仿宋"/>
          <w:color w:val="000000"/>
          <w:sz w:val="32"/>
          <w:szCs w:val="32"/>
          <w:highlight w:val="none"/>
        </w:rPr>
        <w:t xml:space="preserve">天内完成合同范围内所有设备的供货、安装调试。</w:t>
      </w:r>
      <w:r>
        <w:rPr>
          <w:rFonts w:ascii="仿宋" w:hAnsi="仿宋" w:eastAsia="仿宋"/>
          <w:color w:val="000000"/>
          <w:sz w:val="32"/>
          <w:szCs w:val="32"/>
          <w:highlight w:val="none"/>
          <w:u w:val="singl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03"/>
      <w:r/>
      <w:bookmarkStart w:id="12" w:name="_Toc35393791"/>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4"/>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 </w:t>
      </w:r>
      <w:r>
        <w:rPr>
          <w:rFonts w:ascii="仿宋" w:hAnsi="仿宋" w:eastAsia="仿宋"/>
          <w:color w:val="000000"/>
          <w:sz w:val="32"/>
          <w:szCs w:val="32"/>
          <w:highlight w:val="none"/>
        </w:rPr>
      </w:r>
      <w:r/>
    </w:p>
    <w:p>
      <w:pPr>
        <w:pStyle w:val="1074"/>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4"/>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3.3其他特定资格要求：</w:t>
      </w:r>
      <w:r>
        <w:rPr>
          <w:rFonts w:ascii="仿宋" w:hAnsi="仿宋" w:eastAsia="仿宋"/>
          <w:b/>
          <w:bCs/>
          <w:color w:val="000000"/>
          <w:sz w:val="32"/>
          <w:szCs w:val="32"/>
          <w:highlight w:val="none"/>
        </w:rPr>
      </w:r>
      <w:r/>
    </w:p>
    <w:p>
      <w:pPr>
        <w:pStyle w:val="1076"/>
        <w:ind w:firstLine="643"/>
        <w:jc w:val="left"/>
        <w:spacing w:before="0" w:line="360" w:lineRule="auto"/>
        <w:widowControl/>
        <w:rPr>
          <w:rFonts w:hint="eastAsia" w:ascii="仿宋" w:hAnsi="仿宋" w:eastAsia="仿宋"/>
          <w:color w:val="000000"/>
          <w:sz w:val="32"/>
          <w:szCs w:val="32"/>
          <w:highlight w:val="none"/>
        </w:rPr>
      </w:pPr>
      <w:r/>
      <w:bookmarkEnd w:id="14"/>
      <w:r/>
      <w:bookmarkEnd w:id="15"/>
      <w:r/>
      <w:bookmarkStart w:id="16" w:name="_Toc35393792"/>
      <w:r/>
      <w:bookmarkStart w:id="17" w:name="_Toc35393623"/>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6"/>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①供应商为所投产品制造商：具有有效期内的医疗器械生产许可证；</w:t>
      </w:r>
      <w:r>
        <w:rPr>
          <w:rFonts w:hint="eastAsia" w:ascii="仿宋" w:hAnsi="仿宋" w:eastAsia="仿宋"/>
          <w:color w:val="000000"/>
          <w:sz w:val="32"/>
          <w:szCs w:val="32"/>
          <w:highlight w:val="none"/>
        </w:rPr>
      </w:r>
      <w:r/>
    </w:p>
    <w:p>
      <w:pPr>
        <w:pStyle w:val="1076"/>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②供应商为所投产品经销商：具有有效期内的第二类医疗器械经营备案凭证；</w:t>
      </w:r>
      <w:r>
        <w:rPr>
          <w:rFonts w:hint="eastAsia" w:ascii="仿宋" w:hAnsi="仿宋" w:eastAsia="仿宋"/>
          <w:color w:val="000000"/>
          <w:sz w:val="32"/>
          <w:szCs w:val="32"/>
          <w:highlight w:val="none"/>
        </w:rPr>
      </w:r>
      <w:r/>
    </w:p>
    <w:p>
      <w:pPr>
        <w:pStyle w:val="1076"/>
        <w:numPr>
          <w:ilvl w:val="0"/>
          <w:numId w:val="9"/>
        </w:numPr>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提供所投产品的有效医疗器械注册证。</w:t>
      </w:r>
      <w:r>
        <w:rPr>
          <w:rFonts w:hint="eastAsia" w:ascii="仿宋" w:hAnsi="仿宋" w:eastAsia="仿宋"/>
          <w:color w:val="000000"/>
          <w:sz w:val="32"/>
          <w:szCs w:val="32"/>
          <w:highlight w:val="none"/>
        </w:rPr>
      </w:r>
      <w:r/>
    </w:p>
    <w:p>
      <w:pPr>
        <w:pStyle w:val="1076"/>
        <w:numPr>
          <w:ilvl w:val="0"/>
          <w:numId w:val="0"/>
        </w:numPr>
        <w:ind w:firstLine="321"/>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2025年12月05日至2025年12月11日（北京时间）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4"/>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25</w:t>
      </w:r>
      <w:r>
        <w:rPr>
          <w:rFonts w:hint="eastAsia" w:ascii="仿宋" w:hAnsi="仿宋" w:eastAsia="仿宋" w:cs="宋体"/>
          <w:color w:val="000000"/>
          <w:sz w:val="32"/>
          <w:szCs w:val="32"/>
          <w:highlight w:val="none"/>
        </w:rPr>
        <w:t xml:space="preserve">日</w:t>
      </w:r>
      <w:r>
        <w:rPr>
          <w:rFonts w:hint="eastAsia" w:ascii="仿宋" w:hAnsi="仿宋" w:eastAsia="仿宋" w:cs="宋体"/>
          <w:color w:val="000000"/>
          <w:sz w:val="32"/>
          <w:szCs w:val="32"/>
          <w:highlight w:val="none"/>
          <w:lang w:val="en-US" w:eastAsia="zh-CN"/>
        </w:rPr>
        <w:t xml:space="preserve">14</w:t>
      </w:r>
      <w:r>
        <w:rPr>
          <w:rFonts w:hint="eastAsia" w:ascii="仿宋" w:hAnsi="仿宋" w:eastAsia="仿宋"/>
          <w:color w:val="000000"/>
          <w:sz w:val="32"/>
          <w:szCs w:val="32"/>
          <w:highlight w:val="none"/>
          <w:lang w:bidi="ar"/>
        </w:rPr>
        <w:t xml:space="preserve">点</w:t>
      </w:r>
      <w:r>
        <w:rPr>
          <w:rFonts w:hint="eastAsia" w:ascii="仿宋" w:hAnsi="仿宋" w:eastAsia="仿宋"/>
          <w:color w:val="000000"/>
          <w:sz w:val="32"/>
          <w:szCs w:val="32"/>
          <w:highlight w:val="none"/>
          <w:lang w:val="en-US" w:eastAsia="zh-CN" w:bidi="ar"/>
        </w:rPr>
        <w:t xml:space="preserve">00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4"/>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625"/>
      <w:r/>
      <w:bookmarkStart w:id="24" w:name="_Toc35393794"/>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6"/>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796"/>
      <w:r/>
      <w:bookmarkStart w:id="30" w:name="_Toc28359008"/>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4"/>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称：常州国家高新技术产业开发区（新北区）卫生健康局 </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址：常州市新北区新桥街道崇信路8号</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联系方式：孙老师  0519-69888012</w:t>
      </w:r>
      <w:r>
        <w:rPr>
          <w:rFonts w:hint="eastAsia" w:ascii="仿宋" w:hAnsi="仿宋" w:eastAsia="仿宋"/>
          <w:color w:val="000000"/>
          <w:sz w:val="32"/>
          <w:szCs w:val="32"/>
          <w:highlight w:val="none"/>
        </w:rPr>
      </w:r>
      <w:r/>
    </w:p>
    <w:p>
      <w:pPr>
        <w:pStyle w:val="1074"/>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4"/>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4"/>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项目联系人：魏海玲、王逸菲</w:t>
      </w:r>
      <w:r>
        <w:rPr>
          <w:rFonts w:hint="eastAsia" w:ascii="仿宋" w:hAnsi="仿宋" w:eastAsia="仿宋" w:cs="Times New Roman"/>
          <w:color w:val="000000"/>
          <w:sz w:val="32"/>
          <w:szCs w:val="32"/>
          <w:highlight w:val="none"/>
        </w:rPr>
      </w:r>
      <w:r/>
    </w:p>
    <w:p>
      <w:pPr>
        <w:pStyle w:val="1074"/>
        <w:ind w:firstLine="640"/>
        <w:jc w:val="left"/>
        <w:spacing w:line="360" w:lineRule="auto"/>
        <w:rPr>
          <w:rFonts w:ascii="宋体" w:hAnsi="宋体"/>
          <w:b/>
          <w:color w:val="000000"/>
          <w:sz w:val="32"/>
          <w:szCs w:val="32"/>
          <w:highlight w:val="none"/>
        </w:rPr>
      </w:pPr>
      <w:r>
        <w:rPr>
          <w:rFonts w:hint="eastAsia" w:ascii="仿宋" w:hAnsi="仿宋" w:eastAsia="仿宋" w:cs="Times New Roman"/>
          <w:color w:val="000000"/>
          <w:sz w:val="32"/>
          <w:szCs w:val="32"/>
          <w:highlight w:val="none"/>
        </w:rPr>
        <w:t xml:space="preserve">电　　  话：0519-81580152  81580191  81580192（转分机号6033）</w:t>
      </w:r>
      <w:r>
        <w:rPr>
          <w:rFonts w:ascii="宋体" w:hAnsi="宋体"/>
          <w:color w:val="000000"/>
          <w:sz w:val="24"/>
          <w:highlight w:val="none"/>
        </w:rPr>
        <w:br w:type="page" w:clear="all"/>
      </w:r>
      <w:bookmarkStart w:id="36" w:name="_Toc305158928"/>
      <w:r/>
      <w:bookmarkStart w:id="37" w:name="_Toc127151777"/>
      <w:r/>
      <w:bookmarkStart w:id="38" w:name="_Toc512937850"/>
      <w:r/>
      <w:bookmarkStart w:id="39" w:name="_Toc127161488"/>
      <w:r/>
      <w:bookmarkStart w:id="40" w:name="_Toc195842950"/>
      <w:r/>
      <w:bookmarkStart w:id="41" w:name="_Toc353825548"/>
      <w:r/>
      <w:bookmarkStart w:id="42" w:name="_Toc264969275"/>
      <w:r/>
      <w:bookmarkStart w:id="43" w:name="_Toc265228423"/>
      <w:r/>
      <w:bookmarkStart w:id="44" w:name="_Toc226965856"/>
      <w:r/>
      <w:bookmarkStart w:id="45" w:name="_Toc99301420"/>
      <w:r/>
      <w:bookmarkStart w:id="46" w:name="_Toc150774783"/>
      <w:r/>
      <w:bookmarkStart w:id="47" w:name="_Toc305158854"/>
      <w:r/>
      <w:bookmarkStart w:id="48" w:name="_Toc35387393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6"/>
        <w:spacing w:before="0" w:line="360" w:lineRule="auto"/>
        <w:tabs>
          <w:tab w:val="center" w:pos="4592" w:leader="none"/>
          <w:tab w:val="left" w:pos="7860" w:leader="none"/>
        </w:tabs>
        <w:rPr>
          <w:rFonts w:ascii="宋体" w:hAnsi="宋体" w:eastAsia="宋体"/>
          <w:color w:val="000000"/>
          <w:sz w:val="28"/>
          <w:highlight w:val="none"/>
        </w:rPr>
      </w:pPr>
      <w:r/>
      <w:bookmarkStart w:id="49" w:name="_Toc164608788"/>
      <w:r/>
      <w:bookmarkStart w:id="50" w:name="_Toc127151720"/>
      <w:r/>
      <w:bookmarkStart w:id="51" w:name="_Toc195842884"/>
      <w:r/>
      <w:bookmarkStart w:id="52" w:name="_Toc142311021"/>
      <w:r/>
      <w:bookmarkStart w:id="53" w:name="_Toc151193689"/>
      <w:r/>
      <w:bookmarkStart w:id="54" w:name="_Toc520356144"/>
      <w:r/>
      <w:bookmarkStart w:id="55" w:name="_Toc127151519"/>
      <w:r/>
      <w:bookmarkStart w:id="56" w:name="_Toc226965792"/>
      <w:r/>
      <w:bookmarkStart w:id="57" w:name="_Toc151193761"/>
      <w:r/>
      <w:bookmarkStart w:id="58" w:name="_Toc150774724"/>
      <w:r/>
      <w:bookmarkStart w:id="59" w:name="_Toc151193617"/>
      <w:r/>
      <w:bookmarkStart w:id="60" w:name="_Toc127161433"/>
      <w:r/>
      <w:bookmarkStart w:id="61" w:name="_Toc164229360"/>
      <w:r/>
      <w:bookmarkStart w:id="62" w:name="_Toc150480757"/>
      <w:r/>
      <w:bookmarkStart w:id="63" w:name="_Toc164351613"/>
      <w:r/>
      <w:bookmarkStart w:id="64" w:name="_Toc150509270"/>
      <w:r/>
      <w:bookmarkStart w:id="65" w:name="_Toc149720812"/>
      <w:r/>
      <w:bookmarkStart w:id="66" w:name="_Toc150774619"/>
      <w:r/>
      <w:bookmarkStart w:id="67" w:name="_Toc226309763"/>
      <w:r/>
      <w:bookmarkStart w:id="68" w:name="_Toc164608633"/>
      <w:r/>
      <w:bookmarkStart w:id="69" w:name="_Toc151190146"/>
      <w:r/>
      <w:bookmarkStart w:id="70" w:name="_Toc226965709"/>
      <w:r/>
      <w:bookmarkStart w:id="71" w:name="_Toc151193907"/>
      <w:r/>
      <w:bookmarkStart w:id="72" w:name="_Toc226337215"/>
      <w:r/>
      <w:bookmarkStart w:id="73" w:name="_Toc164229214"/>
      <w:r/>
      <w:bookmarkStart w:id="74" w:name="_Toc1511938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4"/>
        <w:jc w:val="center"/>
        <w:rPr>
          <w:rFonts w:ascii="宋体" w:hAnsi="宋体"/>
          <w:b/>
          <w:color w:val="000000"/>
          <w:sz w:val="28"/>
          <w:szCs w:val="28"/>
          <w:highlight w:val="none"/>
        </w:rPr>
      </w:pPr>
      <w:r>
        <w:rPr>
          <w:rFonts w:ascii="宋体" w:hAnsi="宋体"/>
          <w:b/>
          <w:color w:val="000000"/>
          <w:sz w:val="28"/>
          <w:szCs w:val="28"/>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3"/>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3"/>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4"/>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4"/>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w:t>
            </w: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ascii="宋体" w:hAnsi="宋体" w:cs="宋体"/>
                <w:b/>
                <w:color w:val="000000"/>
                <w:sz w:val="24"/>
                <w:highlight w:val="none"/>
              </w:rPr>
            </w:pPr>
            <w:r>
              <w:rPr>
                <w:rFonts w:ascii="宋体" w:hAnsi="宋体" w:cs="宋体"/>
                <w:b/>
                <w:color w:val="000000"/>
                <w:sz w:val="24"/>
                <w:highlight w:val="none"/>
              </w:rPr>
              <w:t xml:space="preserve">（一）收费对象：</w:t>
            </w:r>
            <w:r>
              <w:rPr>
                <w:rFonts w:ascii="宋体" w:hAnsi="宋体" w:cs="宋体"/>
                <w:b/>
                <w:color w:val="000000"/>
                <w:sz w:val="24"/>
                <w:highlight w:val="none"/>
              </w:rPr>
            </w:r>
            <w:r/>
          </w:p>
          <w:p>
            <w:pPr>
              <w:pStyle w:val="1074"/>
              <w:jc w:val="left"/>
              <w:rPr>
                <w:rFonts w:ascii="宋体" w:hAnsi="宋体" w:cs="宋体"/>
                <w:color w:val="000000"/>
                <w:sz w:val="24"/>
                <w:highlight w:val="none"/>
              </w:rPr>
            </w:pPr>
            <w:r>
              <w:rPr>
                <w:rFonts w:ascii="宋体" w:hAnsi="宋体" w:cs="宋体"/>
                <w:color w:val="000000"/>
                <w:sz w:val="24"/>
                <w:highlight w:val="none"/>
              </w:rPr>
              <w:t xml:space="preserve">□采购人</w:t>
            </w:r>
            <w:r>
              <w:rPr>
                <w:rFonts w:ascii="宋体" w:hAnsi="宋体" w:cs="宋体"/>
                <w:color w:val="000000"/>
                <w:sz w:val="24"/>
                <w:highlight w:val="none"/>
              </w:rPr>
            </w:r>
            <w:r/>
          </w:p>
          <w:p>
            <w:pPr>
              <w:pStyle w:val="1074"/>
              <w:jc w:val="left"/>
              <w:rPr>
                <w:rFonts w:ascii="宋体" w:hAnsi="宋体" w:cs="宋体"/>
                <w:color w:val="000000"/>
                <w:sz w:val="24"/>
                <w:highlight w:val="none"/>
              </w:rPr>
            </w:pPr>
            <w:r>
              <w:rPr>
                <w:rFonts w:ascii="宋体" w:hAnsi="宋体" w:cs="宋体"/>
                <w:color w:val="000000"/>
                <w:sz w:val="24"/>
                <w:highlight w:val="none"/>
              </w:rPr>
              <w:t xml:space="preserve">■中标人</w:t>
            </w:r>
            <w:r>
              <w:rPr>
                <w:rFonts w:ascii="宋体" w:hAnsi="宋体" w:cs="宋体"/>
                <w:color w:val="000000"/>
                <w:sz w:val="24"/>
                <w:highlight w:val="none"/>
              </w:rPr>
            </w:r>
            <w:r/>
          </w:p>
          <w:p>
            <w:pPr>
              <w:pStyle w:val="1074"/>
              <w:jc w:val="left"/>
              <w:rPr>
                <w:rFonts w:ascii="宋体" w:hAnsi="宋体" w:cs="宋体"/>
                <w:b/>
                <w:color w:val="000000"/>
                <w:sz w:val="24"/>
                <w:highlight w:val="none"/>
              </w:rPr>
            </w:pPr>
            <w:r>
              <w:rPr>
                <w:rFonts w:ascii="宋体" w:hAnsi="宋体" w:cs="宋体"/>
                <w:b/>
                <w:color w:val="000000"/>
                <w:sz w:val="24"/>
                <w:highlight w:val="none"/>
              </w:rPr>
              <w:t xml:space="preserve">（二）收费标准：</w:t>
            </w:r>
            <w:r>
              <w:rPr>
                <w:rFonts w:ascii="宋体" w:hAnsi="宋体" w:cs="宋体"/>
                <w:b/>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499"/>
              <w:gridCol w:w="2834"/>
            </w:tblGrid>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中标金额（单位：万元）</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货物类</w:t>
                  </w:r>
                  <w:r>
                    <w:rPr>
                      <w:rFonts w:ascii="宋体" w:hAnsi="宋体"/>
                      <w:color w:val="000000"/>
                      <w:sz w:val="24"/>
                      <w:highlight w:val="none"/>
                    </w:rPr>
                  </w:r>
                  <w:r/>
                </w:p>
              </w:tc>
            </w:tr>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100 以下</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r>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100-500</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r>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500-1000</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0.8%</w:t>
                  </w:r>
                  <w:r>
                    <w:rPr>
                      <w:rFonts w:ascii="宋体" w:hAnsi="宋体"/>
                      <w:color w:val="000000"/>
                      <w:sz w:val="24"/>
                      <w:highlight w:val="none"/>
                    </w:rPr>
                  </w:r>
                  <w:r/>
                </w:p>
              </w:tc>
            </w:tr>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1000-5000</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0.5%</w:t>
                  </w:r>
                  <w:r>
                    <w:rPr>
                      <w:rFonts w:ascii="宋体" w:hAnsi="宋体"/>
                      <w:color w:val="000000"/>
                      <w:sz w:val="24"/>
                      <w:highlight w:val="none"/>
                    </w:rPr>
                  </w:r>
                  <w:r/>
                </w:p>
              </w:tc>
            </w:tr>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5000-10000</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0.25%</w:t>
                  </w:r>
                  <w:r>
                    <w:rPr>
                      <w:rFonts w:ascii="宋体" w:hAnsi="宋体"/>
                      <w:color w:val="000000"/>
                      <w:sz w:val="24"/>
                      <w:highlight w:val="none"/>
                    </w:rPr>
                  </w:r>
                  <w:r/>
                </w:p>
              </w:tc>
            </w:tr>
            <w:tr>
              <w:trPr/>
              <w:tc>
                <w:tcPr>
                  <w:tcW w:w="977"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3499"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按上述计算方法不足2000元</w:t>
                  </w:r>
                  <w:r>
                    <w:rPr>
                      <w:rFonts w:ascii="宋体" w:hAnsi="宋体"/>
                      <w:color w:val="000000"/>
                      <w:sz w:val="24"/>
                      <w:highlight w:val="none"/>
                    </w:rPr>
                  </w:r>
                  <w:r/>
                </w:p>
              </w:tc>
              <w:tc>
                <w:tcPr>
                  <w:tcW w:w="2834" w:type="dxa"/>
                  <w:vAlign w:val="center"/>
                  <w:textDirection w:val="lrTb"/>
                  <w:noWrap w:val="false"/>
                </w:tcPr>
                <w:p>
                  <w:pPr>
                    <w:pStyle w:val="1074"/>
                    <w:jc w:val="center"/>
                    <w:spacing w:line="360" w:lineRule="auto"/>
                    <w:rPr>
                      <w:rFonts w:ascii="宋体" w:hAnsi="宋体"/>
                      <w:color w:val="000000"/>
                      <w:sz w:val="24"/>
                      <w:highlight w:val="none"/>
                    </w:rPr>
                  </w:pPr>
                  <w:r>
                    <w:rPr>
                      <w:rFonts w:ascii="宋体" w:hAnsi="宋体"/>
                      <w:color w:val="000000"/>
                      <w:sz w:val="24"/>
                      <w:highlight w:val="none"/>
                    </w:rPr>
                    <w:t xml:space="preserve">固定值：2000元（不打折）</w:t>
                  </w:r>
                  <w:r>
                    <w:rPr>
                      <w:rFonts w:ascii="宋体" w:hAnsi="宋体"/>
                      <w:color w:val="000000"/>
                      <w:sz w:val="24"/>
                      <w:highlight w:val="none"/>
                    </w:rPr>
                  </w:r>
                  <w:r/>
                </w:p>
              </w:tc>
            </w:tr>
          </w:tbl>
          <w:p>
            <w:pPr>
              <w:pStyle w:val="1074"/>
              <w:jc w:val="left"/>
              <w:rPr>
                <w:rFonts w:ascii="宋体" w:hAnsi="宋体" w:cs="宋体"/>
                <w:b/>
                <w:color w:val="000000"/>
                <w:sz w:val="24"/>
                <w:highlight w:val="none"/>
              </w:rPr>
            </w:pPr>
            <w:r>
              <w:rPr>
                <w:rFonts w:ascii="宋体" w:hAnsi="宋体"/>
                <w:color w:val="000000"/>
                <w:sz w:val="24"/>
                <w:highlight w:val="none"/>
              </w:rPr>
              <w:t xml:space="preserve">注：代理服务费按上述表格标准的</w:t>
            </w:r>
            <w:r>
              <w:rPr>
                <w:rFonts w:ascii="宋体" w:hAnsi="宋体"/>
                <w:b/>
                <w:bCs/>
                <w:color w:val="000000"/>
                <w:sz w:val="24"/>
                <w:highlight w:val="none"/>
                <w:u w:val="single"/>
              </w:rPr>
              <w:t xml:space="preserve">60%</w:t>
            </w:r>
            <w:r>
              <w:rPr>
                <w:rFonts w:ascii="宋体" w:hAnsi="宋体"/>
                <w:color w:val="000000"/>
                <w:sz w:val="24"/>
                <w:highlight w:val="none"/>
              </w:rPr>
              <w:t xml:space="preserve">收取</w:t>
            </w:r>
            <w:r>
              <w:rPr>
                <w:rFonts w:ascii="宋体" w:hAnsi="宋体"/>
                <w:b/>
                <w:bCs/>
                <w:color w:val="000000"/>
                <w:sz w:val="24"/>
                <w:highlight w:val="none"/>
              </w:rPr>
              <w:t xml:space="preserve">。</w:t>
            </w:r>
            <w:r>
              <w:rPr>
                <w:rFonts w:ascii="宋体" w:hAnsi="宋体" w:cs="宋体"/>
                <w:b/>
                <w:color w:val="000000"/>
                <w:sz w:val="24"/>
                <w:highlight w:val="none"/>
              </w:rPr>
            </w:r>
            <w:r/>
          </w:p>
          <w:p>
            <w:pPr>
              <w:pStyle w:val="1074"/>
              <w:jc w:val="left"/>
              <w:rPr>
                <w:rFonts w:ascii="宋体" w:hAnsi="宋体" w:cs="宋体"/>
                <w:color w:val="000000"/>
                <w:sz w:val="24"/>
                <w:highlight w:val="none"/>
              </w:rPr>
            </w:pPr>
            <w:r>
              <w:rPr>
                <w:rFonts w:ascii="宋体" w:hAnsi="宋体" w:cs="宋体"/>
                <w:b/>
                <w:color w:val="000000"/>
                <w:sz w:val="24"/>
                <w:highlight w:val="none"/>
              </w:rPr>
              <w:t xml:space="preserve">（三）缴纳时间：</w:t>
            </w:r>
            <w:r>
              <w:rPr>
                <w:rFonts w:ascii="宋体" w:hAnsi="宋体" w:cs="宋体"/>
                <w:color w:val="000000"/>
                <w:sz w:val="24"/>
                <w:highlight w:val="none"/>
              </w:rPr>
              <w:t xml:space="preserve">中标人应在领取中标通知书时将代理费支付至常州市城投建设工程招标有限公司账户。</w:t>
            </w:r>
            <w:r>
              <w:rPr>
                <w:rFonts w:ascii="宋体" w:hAnsi="宋体" w:cs="宋体"/>
                <w:color w:val="000000"/>
                <w:sz w:val="24"/>
                <w:highlight w:val="none"/>
              </w:rPr>
            </w:r>
            <w:r/>
          </w:p>
          <w:p>
            <w:pPr>
              <w:pStyle w:val="1074"/>
              <w:ind w:firstLine="472"/>
              <w:jc w:val="left"/>
              <w:rPr>
                <w:rFonts w:ascii="宋体" w:hAnsi="宋体" w:cs="宋体"/>
                <w:color w:val="000000"/>
                <w:sz w:val="24"/>
                <w:highlight w:val="none"/>
              </w:rPr>
            </w:pPr>
            <w:r>
              <w:rPr>
                <w:rFonts w:ascii="宋体" w:hAnsi="宋体" w:cs="宋体"/>
                <w:color w:val="000000"/>
                <w:sz w:val="24"/>
                <w:highlight w:val="none"/>
              </w:rPr>
              <w:t xml:space="preserve">收款单位：常州市城投建设工程招标有限公司</w:t>
            </w:r>
            <w:r>
              <w:rPr>
                <w:rFonts w:ascii="宋体" w:hAnsi="宋体" w:cs="宋体"/>
                <w:color w:val="000000"/>
                <w:sz w:val="24"/>
                <w:highlight w:val="none"/>
              </w:rPr>
            </w:r>
            <w:r/>
          </w:p>
          <w:p>
            <w:pPr>
              <w:pStyle w:val="1074"/>
              <w:ind w:firstLine="472"/>
              <w:jc w:val="left"/>
              <w:rPr>
                <w:rFonts w:ascii="宋体" w:hAnsi="宋体" w:cs="宋体"/>
                <w:color w:val="000000"/>
                <w:sz w:val="24"/>
                <w:highlight w:val="none"/>
              </w:rPr>
            </w:pPr>
            <w:r>
              <w:rPr>
                <w:rFonts w:ascii="宋体" w:hAnsi="宋体" w:cs="宋体"/>
                <w:color w:val="000000"/>
                <w:sz w:val="24"/>
                <w:highlight w:val="none"/>
              </w:rPr>
              <w:t xml:space="preserve">开户银行：中国建设银行常州大成苑支行</w:t>
            </w:r>
            <w:r>
              <w:rPr>
                <w:rFonts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olor w:val="000000"/>
                <w:sz w:val="24"/>
                <w:szCs w:val="24"/>
                <w:highlight w:val="none"/>
              </w:rPr>
              <w:t xml:space="preserve">28</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4"/>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4"/>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4"/>
        <w:jc w:val="center"/>
        <w:spacing w:before="240" w:after="240"/>
        <w:rPr>
          <w:rFonts w:hint="eastAsia" w:ascii="宋体" w:hAnsi="宋体" w:cs="宋体"/>
          <w:b/>
          <w:color w:val="000000"/>
          <w:sz w:val="28"/>
          <w:szCs w:val="28"/>
          <w:highlight w:val="none"/>
        </w:rPr>
      </w:pPr>
      <w:r/>
      <w:bookmarkStart w:id="75" w:name="_Toc353873932"/>
      <w:r/>
      <w:bookmarkStart w:id="76" w:name="_Toc150480755"/>
      <w:r/>
      <w:bookmarkStart w:id="77" w:name="_Toc150774722"/>
      <w:r/>
      <w:bookmarkStart w:id="78" w:name="_Toc127151517"/>
      <w:r/>
      <w:bookmarkStart w:id="79" w:name="_Toc195842882"/>
      <w:r/>
      <w:bookmarkStart w:id="80" w:name="_Toc226965790"/>
      <w:r/>
      <w:bookmarkStart w:id="81" w:name="_Toc305158785"/>
      <w:r/>
      <w:bookmarkStart w:id="82" w:name="_Toc264969207"/>
      <w:r/>
      <w:bookmarkStart w:id="83" w:name="_Toc142311019"/>
      <w:r/>
      <w:bookmarkStart w:id="84" w:name="_Toc226337213"/>
      <w:r/>
      <w:bookmarkStart w:id="85" w:name="_Toc265228355"/>
      <w:r/>
      <w:bookmarkStart w:id="86" w:name="_Toc353873662"/>
      <w:r/>
      <w:bookmarkStart w:id="87" w:name="_Toc305158859"/>
      <w:r/>
      <w:bookmarkStart w:id="88" w:name="_Toc35382554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264969208"/>
      <w:r/>
      <w:bookmarkStart w:id="92" w:name="_Toc142311020"/>
      <w:r/>
      <w:bookmarkStart w:id="93" w:name="_Toc226965708"/>
      <w:r/>
      <w:bookmarkStart w:id="94" w:name="_Toc151193760"/>
      <w:r/>
      <w:bookmarkStart w:id="95" w:name="_Toc195842883"/>
      <w:r/>
      <w:bookmarkStart w:id="96" w:name="_Toc151190145"/>
      <w:r/>
      <w:bookmarkStart w:id="97" w:name="_Toc150480756"/>
      <w:r/>
      <w:bookmarkStart w:id="98" w:name="_Toc150509269"/>
      <w:r/>
      <w:bookmarkStart w:id="99" w:name="_Toc151193688"/>
      <w:r/>
      <w:bookmarkStart w:id="100" w:name="_Toc151193832"/>
      <w:r/>
      <w:bookmarkStart w:id="101" w:name="_Toc226309762"/>
      <w:r/>
      <w:bookmarkStart w:id="102" w:name="_Toc151193616"/>
      <w:r/>
      <w:bookmarkStart w:id="103" w:name="_Toc150774723"/>
      <w:r/>
      <w:bookmarkStart w:id="104" w:name="_Toc226965791"/>
      <w:r/>
      <w:bookmarkStart w:id="105" w:name="_Toc151193906"/>
      <w:r/>
      <w:bookmarkStart w:id="106" w:name="_Toc305158860"/>
      <w:r/>
      <w:bookmarkStart w:id="107" w:name="_Toc150774618"/>
      <w:r/>
      <w:bookmarkStart w:id="108" w:name="_Toc226337214"/>
      <w:r/>
      <w:bookmarkStart w:id="109" w:name="_Toc265228356"/>
      <w:r/>
      <w:bookmarkStart w:id="110" w:name="_Toc30515878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4"/>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305158787"/>
      <w:r/>
      <w:bookmarkStart w:id="113" w:name="_Toc305158861"/>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774620"/>
      <w:r/>
      <w:bookmarkStart w:id="116" w:name="_Toc264969210"/>
      <w:r/>
      <w:bookmarkStart w:id="117" w:name="_Toc150480758"/>
      <w:r/>
      <w:bookmarkStart w:id="118" w:name="_Toc226309764"/>
      <w:r/>
      <w:bookmarkStart w:id="119" w:name="_Toc127151520"/>
      <w:r/>
      <w:bookmarkStart w:id="120" w:name="_Toc151193762"/>
      <w:r/>
      <w:bookmarkStart w:id="121" w:name="_Toc305158862"/>
      <w:r/>
      <w:bookmarkStart w:id="122" w:name="_Toc151193908"/>
      <w:r/>
      <w:bookmarkStart w:id="123" w:name="_Toc164229215"/>
      <w:r/>
      <w:bookmarkStart w:id="124" w:name="_Toc149720813"/>
      <w:r/>
      <w:bookmarkStart w:id="125" w:name="_Toc150774725"/>
      <w:r/>
      <w:bookmarkStart w:id="126" w:name="_Toc127151721"/>
      <w:r/>
      <w:bookmarkStart w:id="127" w:name="_Toc127161434"/>
      <w:r/>
      <w:bookmarkStart w:id="128" w:name="_Toc142311022"/>
      <w:r/>
      <w:bookmarkStart w:id="129" w:name="_Toc151190147"/>
      <w:r/>
      <w:bookmarkStart w:id="130" w:name="_Toc226965793"/>
      <w:r/>
      <w:bookmarkStart w:id="131" w:name="_Toc226965710"/>
      <w:r/>
      <w:bookmarkStart w:id="132" w:name="_Toc151193618"/>
      <w:r/>
      <w:bookmarkStart w:id="133" w:name="_Toc151193834"/>
      <w:r/>
      <w:bookmarkStart w:id="134" w:name="_Toc164351614"/>
      <w:r/>
      <w:bookmarkStart w:id="135" w:name="_Toc226337216"/>
      <w:r/>
      <w:bookmarkStart w:id="136" w:name="_Toc151193690"/>
      <w:r/>
      <w:bookmarkStart w:id="137" w:name="_Toc164229361"/>
      <w:r/>
      <w:bookmarkStart w:id="138" w:name="_Toc305158788"/>
      <w:r/>
      <w:bookmarkStart w:id="139" w:name="_Toc150509271"/>
      <w:r/>
      <w:bookmarkStart w:id="140" w:name="_Toc195842885"/>
      <w:r/>
      <w:bookmarkStart w:id="141" w:name="_Toc164608634"/>
      <w:r/>
      <w:bookmarkStart w:id="142" w:name="_Toc164608789"/>
      <w:r/>
      <w:bookmarkStart w:id="143" w:name="_Toc265228358"/>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0480760"/>
      <w:r/>
      <w:bookmarkStart w:id="145" w:name="_Toc151193620"/>
      <w:r/>
      <w:bookmarkStart w:id="146" w:name="_Toc127151522"/>
      <w:r/>
      <w:bookmarkStart w:id="147" w:name="_Toc151190149"/>
      <w:r/>
      <w:bookmarkStart w:id="148" w:name="_Toc150774727"/>
      <w:r/>
      <w:bookmarkStart w:id="149" w:name="_Toc150774622"/>
      <w:r/>
      <w:bookmarkStart w:id="150" w:name="_Toc305158864"/>
      <w:r/>
      <w:bookmarkStart w:id="151" w:name="_Toc265228360"/>
      <w:r/>
      <w:bookmarkStart w:id="152" w:name="_Toc151193910"/>
      <w:r/>
      <w:bookmarkStart w:id="153" w:name="_Toc195842887"/>
      <w:r/>
      <w:bookmarkStart w:id="154" w:name="_Toc151193836"/>
      <w:r/>
      <w:bookmarkStart w:id="155" w:name="_Toc151193692"/>
      <w:r/>
      <w:bookmarkStart w:id="156" w:name="_Toc226337218"/>
      <w:r/>
      <w:bookmarkStart w:id="157" w:name="_Toc305158790"/>
      <w:r/>
      <w:bookmarkStart w:id="158" w:name="_Toc142311024"/>
      <w:r/>
      <w:bookmarkStart w:id="159" w:name="_Toc226309766"/>
      <w:r/>
      <w:bookmarkStart w:id="160" w:name="_Toc150509273"/>
      <w:r/>
      <w:bookmarkStart w:id="161" w:name="_Toc151193764"/>
      <w:r/>
      <w:bookmarkStart w:id="162" w:name="_Toc226965712"/>
      <w:r/>
      <w:bookmarkStart w:id="163" w:name="_Toc226965795"/>
      <w:r/>
      <w:bookmarkStart w:id="164" w:name="_Toc520356146"/>
      <w:r/>
      <w:bookmarkStart w:id="165" w:name="_Toc264969212"/>
      <w:r>
        <w:rPr>
          <w:rFonts w:hint="eastAsia" w:ascii="宋体" w:hAnsi="宋体" w:cs="宋体"/>
          <w:color w:val="000000"/>
          <w:sz w:val="28"/>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8"/>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1"/>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8"/>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4"/>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4"/>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4"/>
        <w:numPr>
          <w:ilvl w:val="1"/>
          <w:numId w:val="10"/>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4"/>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4"/>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774623"/>
      <w:r/>
      <w:bookmarkStart w:id="168" w:name="_Toc226965713"/>
      <w:r/>
      <w:bookmarkStart w:id="169" w:name="_Toc150509274"/>
      <w:r/>
      <w:bookmarkStart w:id="170" w:name="_Toc520356147"/>
      <w:r/>
      <w:bookmarkStart w:id="171" w:name="_Toc305158791"/>
      <w:r/>
      <w:bookmarkStart w:id="172" w:name="_Toc226965796"/>
      <w:r/>
      <w:bookmarkStart w:id="173" w:name="_Toc164351617"/>
      <w:r/>
      <w:bookmarkStart w:id="174" w:name="_Toc151193837"/>
      <w:r/>
      <w:bookmarkStart w:id="175" w:name="_Toc164229364"/>
      <w:r/>
      <w:bookmarkStart w:id="176" w:name="_Toc265228361"/>
      <w:r/>
      <w:bookmarkStart w:id="177" w:name="_Toc151193765"/>
      <w:r/>
      <w:bookmarkStart w:id="178" w:name="_Toc226309767"/>
      <w:r/>
      <w:bookmarkStart w:id="179" w:name="_Toc164608792"/>
      <w:r/>
      <w:bookmarkStart w:id="180" w:name="_Toc164608637"/>
      <w:r/>
      <w:bookmarkStart w:id="181" w:name="_Toc142311025"/>
      <w:r/>
      <w:bookmarkStart w:id="182" w:name="_Toc150774728"/>
      <w:r/>
      <w:bookmarkStart w:id="183" w:name="_Toc149720816"/>
      <w:r/>
      <w:bookmarkStart w:id="184" w:name="_Toc226337219"/>
      <w:r/>
      <w:bookmarkStart w:id="185" w:name="_Toc151193911"/>
      <w:r/>
      <w:bookmarkStart w:id="186" w:name="_Toc127151523"/>
      <w:r/>
      <w:bookmarkStart w:id="187" w:name="_Toc127161437"/>
      <w:r/>
      <w:bookmarkStart w:id="188" w:name="_Toc195842888"/>
      <w:r/>
      <w:bookmarkStart w:id="189" w:name="_Toc164229218"/>
      <w:r/>
      <w:bookmarkStart w:id="190" w:name="_Toc264969213"/>
      <w:r/>
      <w:bookmarkStart w:id="191" w:name="_Toc151190150"/>
      <w:r/>
      <w:bookmarkStart w:id="192" w:name="_Toc151193693"/>
      <w:r/>
      <w:bookmarkStart w:id="193" w:name="_Toc127151724"/>
      <w:r/>
      <w:bookmarkStart w:id="194" w:name="_Toc305158865"/>
      <w:r/>
      <w:bookmarkStart w:id="195" w:name="_Toc150480761"/>
      <w:r/>
      <w:bookmarkStart w:id="196" w:name="_Toc15119362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197" w:name="_Toc151193624"/>
      <w:r/>
      <w:bookmarkStart w:id="198" w:name="_Toc150480764"/>
      <w:r/>
      <w:bookmarkStart w:id="199" w:name="_Toc265228364"/>
      <w:r/>
      <w:bookmarkStart w:id="200" w:name="_Toc151193696"/>
      <w:r/>
      <w:bookmarkStart w:id="201" w:name="_Toc150509277"/>
      <w:r/>
      <w:bookmarkStart w:id="202" w:name="_Toc264969216"/>
      <w:r/>
      <w:bookmarkStart w:id="203" w:name="_Toc127151526"/>
      <w:r/>
      <w:bookmarkStart w:id="204" w:name="_Toc151193914"/>
      <w:r/>
      <w:bookmarkStart w:id="205" w:name="_Toc195842891"/>
      <w:r/>
      <w:bookmarkStart w:id="206" w:name="_Toc151190153"/>
      <w:r/>
      <w:bookmarkStart w:id="207" w:name="_Toc226965716"/>
      <w:r/>
      <w:bookmarkStart w:id="208" w:name="_Toc151193840"/>
      <w:r/>
      <w:bookmarkStart w:id="209" w:name="_Toc520356150"/>
      <w:r/>
      <w:bookmarkStart w:id="210" w:name="_Toc516367020"/>
      <w:r/>
      <w:bookmarkStart w:id="211" w:name="_Toc142311028"/>
      <w:r/>
      <w:bookmarkStart w:id="212" w:name="_Toc226337222"/>
      <w:r/>
      <w:bookmarkStart w:id="213" w:name="_Toc226965799"/>
      <w:r/>
      <w:bookmarkStart w:id="214" w:name="_Toc150774626"/>
      <w:r/>
      <w:bookmarkStart w:id="215" w:name="_Toc305158868"/>
      <w:r/>
      <w:bookmarkStart w:id="216" w:name="_Toc150774731"/>
      <w:r/>
      <w:bookmarkStart w:id="217" w:name="_Toc226309770"/>
      <w:r/>
      <w:bookmarkStart w:id="218" w:name="_Toc151193768"/>
      <w:r/>
      <w:bookmarkStart w:id="219" w:name="_Toc30515879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0509278"/>
      <w:r/>
      <w:bookmarkStart w:id="221" w:name="_Toc516367021"/>
      <w:r/>
      <w:bookmarkStart w:id="222" w:name="_Toc264969217"/>
      <w:r/>
      <w:bookmarkStart w:id="223" w:name="_Toc226337223"/>
      <w:r/>
      <w:bookmarkStart w:id="224" w:name="_Toc127151527"/>
      <w:r/>
      <w:bookmarkStart w:id="225" w:name="_Toc226309771"/>
      <w:r/>
      <w:bookmarkStart w:id="226" w:name="_Toc164229222"/>
      <w:r/>
      <w:bookmarkStart w:id="227" w:name="_Toc520356151"/>
      <w:r/>
      <w:bookmarkStart w:id="228" w:name="_Toc142311029"/>
      <w:r/>
      <w:bookmarkStart w:id="229" w:name="_Toc195842892"/>
      <w:r/>
      <w:bookmarkStart w:id="230" w:name="_Toc151193769"/>
      <w:r/>
      <w:bookmarkStart w:id="231" w:name="_Toc151190154"/>
      <w:r/>
      <w:bookmarkStart w:id="232" w:name="_Toc164351621"/>
      <w:r/>
      <w:bookmarkStart w:id="233" w:name="_Toc164608641"/>
      <w:r/>
      <w:bookmarkStart w:id="234" w:name="_Toc151193697"/>
      <w:r/>
      <w:bookmarkStart w:id="235" w:name="_Toc226965800"/>
      <w:r/>
      <w:bookmarkStart w:id="236" w:name="_Toc164229368"/>
      <w:r/>
      <w:bookmarkStart w:id="237" w:name="_Toc151193915"/>
      <w:r/>
      <w:bookmarkStart w:id="238" w:name="_Toc127161441"/>
      <w:r/>
      <w:bookmarkStart w:id="239" w:name="_Toc164608796"/>
      <w:r/>
      <w:bookmarkStart w:id="240" w:name="_Toc305158869"/>
      <w:r/>
      <w:bookmarkStart w:id="241" w:name="_Toc151193841"/>
      <w:r/>
      <w:bookmarkStart w:id="242" w:name="_Toc150774627"/>
      <w:r/>
      <w:bookmarkStart w:id="243" w:name="_Toc151193625"/>
      <w:r/>
      <w:bookmarkStart w:id="244" w:name="_Toc226965717"/>
      <w:r/>
      <w:bookmarkStart w:id="245" w:name="_Toc265228365"/>
      <w:r/>
      <w:bookmarkStart w:id="246" w:name="_Toc127151728"/>
      <w:r/>
      <w:bookmarkStart w:id="247" w:name="_Toc150774732"/>
      <w:r/>
      <w:bookmarkStart w:id="248" w:name="_Toc149720820"/>
      <w:r/>
      <w:bookmarkStart w:id="249" w:name="_Toc305158795"/>
      <w:r/>
      <w:bookmarkStart w:id="250" w:name="_Toc15048076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0155"/>
      <w:r/>
      <w:bookmarkStart w:id="252" w:name="_Toc164229369"/>
      <w:r/>
      <w:bookmarkStart w:id="253" w:name="_Toc164351622"/>
      <w:r/>
      <w:bookmarkStart w:id="254" w:name="_Toc127161442"/>
      <w:r/>
      <w:bookmarkStart w:id="255" w:name="_Toc142311030"/>
      <w:r/>
      <w:bookmarkStart w:id="256" w:name="_Toc226309772"/>
      <w:r/>
      <w:bookmarkStart w:id="257" w:name="_Toc151193770"/>
      <w:r/>
      <w:bookmarkStart w:id="258" w:name="_Ref467306195"/>
      <w:r/>
      <w:bookmarkStart w:id="259" w:name="_Ref467306676"/>
      <w:r/>
      <w:bookmarkStart w:id="260" w:name="_Toc516367022"/>
      <w:r/>
      <w:bookmarkStart w:id="261" w:name="_Toc226965718"/>
      <w:r/>
      <w:bookmarkStart w:id="262" w:name="_Toc305158870"/>
      <w:r/>
      <w:bookmarkStart w:id="263" w:name="_Toc127151528"/>
      <w:r/>
      <w:bookmarkStart w:id="264" w:name="_Toc151193626"/>
      <w:r/>
      <w:bookmarkStart w:id="265" w:name="_Toc226965801"/>
      <w:r/>
      <w:bookmarkStart w:id="266" w:name="_Toc150480766"/>
      <w:r/>
      <w:bookmarkStart w:id="267" w:name="_Toc264969218"/>
      <w:r/>
      <w:bookmarkStart w:id="268" w:name="_Toc151193916"/>
      <w:r/>
      <w:bookmarkStart w:id="269" w:name="_Toc195842893"/>
      <w:r/>
      <w:bookmarkStart w:id="270" w:name="_Toc226337224"/>
      <w:r/>
      <w:bookmarkStart w:id="271" w:name="_Toc164608642"/>
      <w:r/>
      <w:bookmarkStart w:id="272" w:name="_Toc150509279"/>
      <w:r/>
      <w:bookmarkStart w:id="273" w:name="_Toc127151729"/>
      <w:r/>
      <w:bookmarkStart w:id="274" w:name="_Toc151193842"/>
      <w:r/>
      <w:bookmarkStart w:id="275" w:name="_Toc520356152"/>
      <w:r/>
      <w:bookmarkStart w:id="276" w:name="_Toc265228366"/>
      <w:r/>
      <w:bookmarkStart w:id="277" w:name="_Toc150774733"/>
      <w:r/>
      <w:bookmarkStart w:id="278" w:name="_Toc149720821"/>
      <w:r/>
      <w:bookmarkStart w:id="279" w:name="_Toc305158796"/>
      <w:r/>
      <w:bookmarkStart w:id="280" w:name="_Toc164229223"/>
      <w:r/>
      <w:bookmarkStart w:id="281" w:name="_Toc150774628"/>
      <w:r/>
      <w:bookmarkStart w:id="282" w:name="_Toc164608797"/>
      <w:r/>
      <w:bookmarkStart w:id="283" w:name="_Toc15119369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225"/>
      <w:r/>
      <w:bookmarkStart w:id="286" w:name="_Toc127161444"/>
      <w:r/>
      <w:bookmarkStart w:id="287" w:name="_Toc151193918"/>
      <w:r/>
      <w:bookmarkStart w:id="288" w:name="_Toc151190157"/>
      <w:r/>
      <w:bookmarkStart w:id="289" w:name="_Toc520356155"/>
      <w:r/>
      <w:bookmarkStart w:id="290" w:name="_Toc164229371"/>
      <w:r/>
      <w:bookmarkStart w:id="291" w:name="_Toc150774630"/>
      <w:r/>
      <w:bookmarkStart w:id="292" w:name="_Toc164608799"/>
      <w:r/>
      <w:bookmarkStart w:id="293" w:name="_Toc150480768"/>
      <w:r/>
      <w:bookmarkStart w:id="294" w:name="_Toc127151731"/>
      <w:r/>
      <w:bookmarkStart w:id="295" w:name="_Toc164608644"/>
      <w:r/>
      <w:bookmarkStart w:id="296" w:name="_Toc164351624"/>
      <w:r/>
      <w:bookmarkStart w:id="297" w:name="_Toc151193844"/>
      <w:r/>
      <w:bookmarkStart w:id="298" w:name="_Toc151193628"/>
      <w:r/>
      <w:bookmarkStart w:id="299" w:name="_Toc149720823"/>
      <w:r/>
      <w:bookmarkStart w:id="300" w:name="_Toc195842895"/>
      <w:r/>
      <w:bookmarkStart w:id="301" w:name="_Toc150774735"/>
      <w:r/>
      <w:bookmarkStart w:id="302" w:name="_Toc151193700"/>
      <w:r/>
      <w:bookmarkStart w:id="303" w:name="_Toc127151530"/>
      <w:r/>
      <w:bookmarkStart w:id="304" w:name="_Toc151193772"/>
      <w:r/>
      <w:bookmarkStart w:id="305" w:name="_Toc142311032"/>
      <w:r/>
      <w:bookmarkStart w:id="306" w:name="_Toc150509281"/>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0774736"/>
      <w:r/>
      <w:bookmarkStart w:id="308" w:name="_Toc127151732"/>
      <w:r/>
      <w:bookmarkStart w:id="309" w:name="_Toc264969221"/>
      <w:r/>
      <w:bookmarkStart w:id="310" w:name="_Toc151193919"/>
      <w:r/>
      <w:bookmarkStart w:id="311" w:name="_Toc265228369"/>
      <w:r/>
      <w:bookmarkStart w:id="312" w:name="_Toc305158799"/>
      <w:r/>
      <w:bookmarkStart w:id="313" w:name="_Toc226337227"/>
      <w:r/>
      <w:bookmarkStart w:id="314" w:name="_Toc226309775"/>
      <w:r/>
      <w:bookmarkStart w:id="315" w:name="_Toc150480769"/>
      <w:r/>
      <w:bookmarkStart w:id="316" w:name="_Toc164229226"/>
      <w:r/>
      <w:bookmarkStart w:id="317" w:name="_Toc151190158"/>
      <w:r/>
      <w:bookmarkStart w:id="318" w:name="_Toc151193701"/>
      <w:r/>
      <w:bookmarkStart w:id="319" w:name="_Toc520356156"/>
      <w:r/>
      <w:bookmarkStart w:id="320" w:name="_Toc151193845"/>
      <w:r/>
      <w:bookmarkStart w:id="321" w:name="_Toc195842896"/>
      <w:r/>
      <w:bookmarkStart w:id="322" w:name="_Toc142311033"/>
      <w:r/>
      <w:bookmarkStart w:id="323" w:name="_Toc151193629"/>
      <w:r/>
      <w:bookmarkStart w:id="324" w:name="_Toc151193773"/>
      <w:r/>
      <w:bookmarkStart w:id="325" w:name="_Toc150509282"/>
      <w:r/>
      <w:bookmarkStart w:id="326" w:name="_Toc164229372"/>
      <w:r/>
      <w:bookmarkStart w:id="327" w:name="_Toc305158873"/>
      <w:r/>
      <w:bookmarkStart w:id="328" w:name="_Toc150774631"/>
      <w:r/>
      <w:bookmarkStart w:id="329" w:name="_Toc226965804"/>
      <w:r/>
      <w:bookmarkStart w:id="330" w:name="_Toc164608645"/>
      <w:r/>
      <w:bookmarkStart w:id="331" w:name="_Toc164608800"/>
      <w:r/>
      <w:bookmarkStart w:id="332" w:name="_Toc127161445"/>
      <w:r/>
      <w:bookmarkStart w:id="333" w:name="_Toc127151531"/>
      <w:r/>
      <w:bookmarkStart w:id="334" w:name="_Ref467306513"/>
      <w:r/>
      <w:bookmarkStart w:id="335" w:name="_Toc149720824"/>
      <w:r/>
      <w:bookmarkStart w:id="336" w:name="_Toc164351625"/>
      <w:r/>
      <w:bookmarkStart w:id="337" w:name="_Toc22696572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64608801"/>
      <w:r/>
      <w:bookmarkStart w:id="339" w:name="_Toc151193630"/>
      <w:r/>
      <w:bookmarkStart w:id="340" w:name="_Toc520356157"/>
      <w:r/>
      <w:bookmarkStart w:id="341" w:name="_Toc164608646"/>
      <w:r/>
      <w:bookmarkStart w:id="342" w:name="_Toc264969222"/>
      <w:r/>
      <w:bookmarkStart w:id="343" w:name="_Toc142311034"/>
      <w:r/>
      <w:bookmarkStart w:id="344" w:name="_Toc151193920"/>
      <w:r/>
      <w:bookmarkStart w:id="345" w:name="_Toc164229373"/>
      <w:r/>
      <w:bookmarkStart w:id="346" w:name="_Toc151190159"/>
      <w:r/>
      <w:bookmarkStart w:id="347" w:name="_Toc127161446"/>
      <w:r/>
      <w:bookmarkStart w:id="348" w:name="_Toc164229227"/>
      <w:r/>
      <w:bookmarkStart w:id="349" w:name="_Toc150774632"/>
      <w:r/>
      <w:bookmarkStart w:id="350" w:name="_Toc150774737"/>
      <w:r/>
      <w:bookmarkStart w:id="351" w:name="_Toc164351626"/>
      <w:r/>
      <w:bookmarkStart w:id="352" w:name="_Toc305158800"/>
      <w:r/>
      <w:bookmarkStart w:id="353" w:name="_Toc127151733"/>
      <w:r/>
      <w:bookmarkStart w:id="354" w:name="_Toc226965805"/>
      <w:r/>
      <w:bookmarkStart w:id="355" w:name="_Toc150480770"/>
      <w:r/>
      <w:bookmarkStart w:id="356" w:name="_Toc151193702"/>
      <w:r/>
      <w:bookmarkStart w:id="357" w:name="_Toc226337228"/>
      <w:r/>
      <w:bookmarkStart w:id="358" w:name="_Toc150509283"/>
      <w:r/>
      <w:bookmarkStart w:id="359" w:name="_Toc265228370"/>
      <w:r/>
      <w:bookmarkStart w:id="360" w:name="_Toc226965722"/>
      <w:r/>
      <w:bookmarkStart w:id="361" w:name="_Toc151193774"/>
      <w:r/>
      <w:bookmarkStart w:id="362" w:name="_Toc149720825"/>
      <w:r/>
      <w:bookmarkStart w:id="363" w:name="_Toc127151532"/>
      <w:r/>
      <w:bookmarkStart w:id="364" w:name="_Toc305158874"/>
      <w:r/>
      <w:bookmarkStart w:id="365" w:name="_Toc195842897"/>
      <w:r/>
      <w:bookmarkStart w:id="366" w:name="_Toc226309776"/>
      <w:r/>
      <w:bookmarkStart w:id="367" w:name="_Toc151193846"/>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27151734"/>
      <w:r/>
      <w:bookmarkStart w:id="369" w:name="_Toc151193921"/>
      <w:r/>
      <w:bookmarkStart w:id="370" w:name="_Toc305158801"/>
      <w:r/>
      <w:bookmarkStart w:id="371" w:name="_Toc149720826"/>
      <w:r/>
      <w:bookmarkStart w:id="372" w:name="_Toc142311035"/>
      <w:r/>
      <w:bookmarkStart w:id="373" w:name="_Toc150480771"/>
      <w:r/>
      <w:bookmarkStart w:id="374" w:name="_Toc127151533"/>
      <w:r/>
      <w:bookmarkStart w:id="375" w:name="_Toc226965723"/>
      <w:r/>
      <w:bookmarkStart w:id="376" w:name="_Toc150774633"/>
      <w:r/>
      <w:bookmarkStart w:id="377" w:name="_Toc305158875"/>
      <w:r/>
      <w:bookmarkStart w:id="378" w:name="_Toc151193631"/>
      <w:r/>
      <w:bookmarkStart w:id="379" w:name="_Toc151193847"/>
      <w:r/>
      <w:bookmarkStart w:id="380" w:name="_Toc226309777"/>
      <w:r/>
      <w:bookmarkStart w:id="381" w:name="_Toc226965806"/>
      <w:r/>
      <w:bookmarkStart w:id="382" w:name="_Toc195842898"/>
      <w:r/>
      <w:bookmarkStart w:id="383" w:name="_Toc164608802"/>
      <w:r/>
      <w:bookmarkStart w:id="384" w:name="_Toc150774738"/>
      <w:r/>
      <w:bookmarkStart w:id="385" w:name="_Toc264969223"/>
      <w:r/>
      <w:bookmarkStart w:id="386" w:name="_Toc226337229"/>
      <w:r/>
      <w:bookmarkStart w:id="387" w:name="_Toc150509284"/>
      <w:r/>
      <w:bookmarkStart w:id="388" w:name="_Toc164608647"/>
      <w:r/>
      <w:bookmarkStart w:id="389" w:name="_Toc151190160"/>
      <w:r/>
      <w:bookmarkStart w:id="390" w:name="_Toc127161447"/>
      <w:r/>
      <w:bookmarkStart w:id="391" w:name="_Toc151193703"/>
      <w:r/>
      <w:bookmarkStart w:id="392" w:name="_Toc265228371"/>
      <w:r/>
      <w:bookmarkStart w:id="393" w:name="_Toc151193775"/>
      <w:r/>
      <w:bookmarkStart w:id="394" w:name="_Toc164229374"/>
      <w:r/>
      <w:bookmarkStart w:id="395" w:name="_Toc164229228"/>
      <w:r/>
      <w:bookmarkStart w:id="396" w:name="_Toc520356158"/>
      <w:r/>
      <w:bookmarkStart w:id="397" w:name="_Toc164351627"/>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42311036"/>
      <w:r/>
      <w:bookmarkStart w:id="399" w:name="_Toc150509285"/>
      <w:r/>
      <w:bookmarkStart w:id="400" w:name="_Toc265228372"/>
      <w:r/>
      <w:bookmarkStart w:id="401" w:name="_Toc151193632"/>
      <w:r/>
      <w:bookmarkStart w:id="402" w:name="_Toc226337230"/>
      <w:r/>
      <w:bookmarkStart w:id="403" w:name="_Toc226965807"/>
      <w:r/>
      <w:bookmarkStart w:id="404" w:name="_Toc305158876"/>
      <w:r/>
      <w:bookmarkStart w:id="405" w:name="_Toc151193776"/>
      <w:r/>
      <w:bookmarkStart w:id="406" w:name="_Toc150774634"/>
      <w:r/>
      <w:bookmarkStart w:id="407" w:name="_Toc150774739"/>
      <w:r/>
      <w:bookmarkStart w:id="408" w:name="_Toc520356159"/>
      <w:r/>
      <w:bookmarkStart w:id="409" w:name="_Toc305158802"/>
      <w:r/>
      <w:bookmarkStart w:id="410" w:name="_Toc151193704"/>
      <w:r/>
      <w:bookmarkStart w:id="411" w:name="_Toc264969224"/>
      <w:r/>
      <w:bookmarkStart w:id="412" w:name="_Toc151193848"/>
      <w:r/>
      <w:bookmarkStart w:id="413" w:name="_Toc226309778"/>
      <w:r/>
      <w:bookmarkStart w:id="414" w:name="_Toc226965724"/>
      <w:r/>
      <w:bookmarkStart w:id="415" w:name="_Toc151193922"/>
      <w:r/>
      <w:bookmarkStart w:id="416" w:name="_Toc150480772"/>
      <w:r/>
      <w:bookmarkStart w:id="417" w:name="_Toc127151534"/>
      <w:r/>
      <w:bookmarkStart w:id="418" w:name="_Toc195842899"/>
      <w:r/>
      <w:bookmarkStart w:id="419" w:name="_Toc151190161"/>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965808"/>
      <w:r/>
      <w:bookmarkStart w:id="421" w:name="_Toc264969225"/>
      <w:r/>
      <w:bookmarkStart w:id="422" w:name="_Toc142311037"/>
      <w:r/>
      <w:bookmarkStart w:id="423" w:name="_Toc226309779"/>
      <w:r/>
      <w:bookmarkStart w:id="424" w:name="_Toc151193849"/>
      <w:r/>
      <w:bookmarkStart w:id="425" w:name="_Toc520356160"/>
      <w:r/>
      <w:bookmarkStart w:id="426" w:name="_Toc164608804"/>
      <w:r/>
      <w:bookmarkStart w:id="427" w:name="_Toc151193633"/>
      <w:r/>
      <w:bookmarkStart w:id="428" w:name="_Toc150480773"/>
      <w:r/>
      <w:bookmarkStart w:id="429" w:name="_Toc305158877"/>
      <w:r/>
      <w:bookmarkStart w:id="430" w:name="_Toc150774635"/>
      <w:r/>
      <w:bookmarkStart w:id="431" w:name="_Toc195842900"/>
      <w:r/>
      <w:bookmarkStart w:id="432" w:name="_Toc127151535"/>
      <w:r/>
      <w:bookmarkStart w:id="433" w:name="_Toc164229230"/>
      <w:r/>
      <w:bookmarkStart w:id="434" w:name="_Toc226965725"/>
      <w:r/>
      <w:bookmarkStart w:id="435" w:name="_Toc164351629"/>
      <w:r/>
      <w:bookmarkStart w:id="436" w:name="_Toc226337231"/>
      <w:r/>
      <w:bookmarkStart w:id="437" w:name="_Toc151190162"/>
      <w:r/>
      <w:bookmarkStart w:id="438" w:name="_Toc151193705"/>
      <w:r/>
      <w:bookmarkStart w:id="439" w:name="_Toc127161449"/>
      <w:r/>
      <w:bookmarkStart w:id="440" w:name="_Toc151193923"/>
      <w:r/>
      <w:bookmarkStart w:id="441" w:name="_Toc149720828"/>
      <w:r/>
      <w:bookmarkStart w:id="442" w:name="_Toc265228373"/>
      <w:r/>
      <w:bookmarkStart w:id="443" w:name="_Toc164608649"/>
      <w:r/>
      <w:bookmarkStart w:id="444" w:name="_Toc127151736"/>
      <w:r/>
      <w:bookmarkStart w:id="445" w:name="_Toc164229376"/>
      <w:r/>
      <w:bookmarkStart w:id="446" w:name="_Toc150774740"/>
      <w:r/>
      <w:bookmarkStart w:id="447" w:name="_Toc151193777"/>
      <w:r/>
      <w:bookmarkStart w:id="448" w:name="_Toc150509286"/>
      <w:r/>
      <w:bookmarkStart w:id="449" w:name="_Toc305158803"/>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480774"/>
      <w:r/>
      <w:bookmarkStart w:id="451" w:name="_Toc226309780"/>
      <w:r/>
      <w:bookmarkStart w:id="452" w:name="_Toc151193634"/>
      <w:r/>
      <w:bookmarkStart w:id="453" w:name="_Toc164229377"/>
      <w:r/>
      <w:bookmarkStart w:id="454" w:name="_Toc151190163"/>
      <w:r/>
      <w:bookmarkStart w:id="455" w:name="_Toc226965809"/>
      <w:r/>
      <w:bookmarkStart w:id="456" w:name="_Toc127161450"/>
      <w:r/>
      <w:bookmarkStart w:id="457" w:name="_Toc164351630"/>
      <w:r/>
      <w:bookmarkStart w:id="458" w:name="_Toc150774741"/>
      <w:r/>
      <w:bookmarkStart w:id="459" w:name="_Toc127151536"/>
      <w:r/>
      <w:bookmarkStart w:id="460" w:name="_Toc164608650"/>
      <w:r/>
      <w:bookmarkStart w:id="461" w:name="_Toc142311038"/>
      <w:r/>
      <w:bookmarkStart w:id="462" w:name="_Toc265228374"/>
      <w:r/>
      <w:bookmarkStart w:id="463" w:name="_Toc149720829"/>
      <w:r/>
      <w:bookmarkStart w:id="464" w:name="_Toc150509287"/>
      <w:r/>
      <w:bookmarkStart w:id="465" w:name="_Toc151193924"/>
      <w:r/>
      <w:bookmarkStart w:id="466" w:name="_Toc226965726"/>
      <w:r/>
      <w:bookmarkStart w:id="467" w:name="_Toc520356161"/>
      <w:r/>
      <w:bookmarkStart w:id="468" w:name="_Toc151193706"/>
      <w:r/>
      <w:bookmarkStart w:id="469" w:name="_Toc226337232"/>
      <w:r/>
      <w:bookmarkStart w:id="470" w:name="_Toc164229231"/>
      <w:r/>
      <w:bookmarkStart w:id="471" w:name="_Toc127151737"/>
      <w:r/>
      <w:bookmarkStart w:id="472" w:name="_Toc264969226"/>
      <w:r/>
      <w:bookmarkStart w:id="473" w:name="_Toc150774636"/>
      <w:r/>
      <w:bookmarkStart w:id="474" w:name="_Toc195842901"/>
      <w:r/>
      <w:bookmarkStart w:id="475" w:name="_Toc151193850"/>
      <w:r/>
      <w:bookmarkStart w:id="476" w:name="_Toc164608805"/>
      <w:r/>
      <w:bookmarkStart w:id="477" w:name="_Toc305158804"/>
      <w:r/>
      <w:bookmarkStart w:id="478" w:name="_Toc305158878"/>
      <w:r/>
      <w:bookmarkStart w:id="479" w:name="_Toc151193778"/>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0774742"/>
      <w:r/>
      <w:bookmarkStart w:id="481" w:name="_Toc164608806"/>
      <w:r/>
      <w:bookmarkStart w:id="482" w:name="_Toc151193635"/>
      <w:r/>
      <w:bookmarkStart w:id="483" w:name="_Toc164229232"/>
      <w:r/>
      <w:bookmarkStart w:id="484" w:name="_Toc142311039"/>
      <w:r/>
      <w:bookmarkStart w:id="485" w:name="_Toc164229378"/>
      <w:r/>
      <w:bookmarkStart w:id="486" w:name="_Toc226309781"/>
      <w:r/>
      <w:bookmarkStart w:id="487" w:name="_Toc150774637"/>
      <w:r/>
      <w:bookmarkStart w:id="488" w:name="_Toc149720830"/>
      <w:r/>
      <w:bookmarkStart w:id="489" w:name="_Toc226337233"/>
      <w:r/>
      <w:bookmarkStart w:id="490" w:name="_Toc151190164"/>
      <w:r/>
      <w:bookmarkStart w:id="491" w:name="_Toc305158879"/>
      <w:r/>
      <w:bookmarkStart w:id="492" w:name="_Toc127161451"/>
      <w:r/>
      <w:bookmarkStart w:id="493" w:name="_Toc265228375"/>
      <w:r/>
      <w:bookmarkStart w:id="494" w:name="_Toc520356162"/>
      <w:r/>
      <w:bookmarkStart w:id="495" w:name="_Toc305158805"/>
      <w:r/>
      <w:bookmarkStart w:id="496" w:name="_Toc127151738"/>
      <w:r/>
      <w:bookmarkStart w:id="497" w:name="_Toc127151537"/>
      <w:r/>
      <w:bookmarkStart w:id="498" w:name="_Toc151193851"/>
      <w:r/>
      <w:bookmarkStart w:id="499" w:name="_Toc151193925"/>
      <w:r/>
      <w:bookmarkStart w:id="500" w:name="_Toc151193707"/>
      <w:r/>
      <w:bookmarkStart w:id="501" w:name="_Toc150480775"/>
      <w:r/>
      <w:bookmarkStart w:id="502" w:name="_Toc151193779"/>
      <w:r/>
      <w:bookmarkStart w:id="503" w:name="_Toc150509288"/>
      <w:r/>
      <w:bookmarkStart w:id="504" w:name="_Toc264969227"/>
      <w:r/>
      <w:bookmarkStart w:id="505" w:name="_Toc195842902"/>
      <w:r/>
      <w:bookmarkStart w:id="506" w:name="_Toc226965727"/>
      <w:r/>
      <w:bookmarkStart w:id="507" w:name="_Toc164608651"/>
      <w:r/>
      <w:bookmarkStart w:id="508" w:name="_Toc164351631"/>
      <w:r/>
      <w:bookmarkStart w:id="509" w:name="_Toc226965810"/>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10" w:name="_Toc151190165"/>
      <w:r/>
      <w:bookmarkStart w:id="511" w:name="_Toc226965728"/>
      <w:r/>
      <w:bookmarkStart w:id="512" w:name="_Toc142311040"/>
      <w:r/>
      <w:bookmarkStart w:id="513" w:name="_Toc226965811"/>
      <w:r/>
      <w:bookmarkStart w:id="514" w:name="_Toc226309782"/>
      <w:r/>
      <w:bookmarkStart w:id="515" w:name="_Toc151193636"/>
      <w:r/>
      <w:bookmarkStart w:id="516" w:name="_Toc150774638"/>
      <w:r/>
      <w:bookmarkStart w:id="517" w:name="_Toc150509289"/>
      <w:r/>
      <w:bookmarkStart w:id="518" w:name="_Toc150480776"/>
      <w:r/>
      <w:bookmarkStart w:id="519" w:name="_Toc151193708"/>
      <w:r/>
      <w:bookmarkStart w:id="520" w:name="_Toc151193852"/>
      <w:r/>
      <w:bookmarkStart w:id="521" w:name="_Toc150774743"/>
      <w:r/>
      <w:bookmarkStart w:id="522" w:name="_Toc151193780"/>
      <w:r/>
      <w:bookmarkStart w:id="523" w:name="_Toc264969228"/>
      <w:r/>
      <w:bookmarkStart w:id="524" w:name="_Toc195842903"/>
      <w:r/>
      <w:bookmarkStart w:id="525" w:name="_Toc265228376"/>
      <w:r/>
      <w:bookmarkStart w:id="526" w:name="_Toc127151538"/>
      <w:r/>
      <w:bookmarkStart w:id="527" w:name="_Toc305158806"/>
      <w:r/>
      <w:bookmarkStart w:id="528" w:name="_Toc226337234"/>
      <w:r/>
      <w:bookmarkStart w:id="529" w:name="_Toc151193926"/>
      <w:r/>
      <w:bookmarkStart w:id="530" w:name="_Toc520356163"/>
      <w:r/>
      <w:bookmarkStart w:id="531" w:name="_Toc305158880"/>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539"/>
      <w:r/>
      <w:bookmarkStart w:id="533" w:name="_Toc151193709"/>
      <w:r/>
      <w:bookmarkStart w:id="534" w:name="_Toc164351633"/>
      <w:r/>
      <w:bookmarkStart w:id="535" w:name="_Toc264969229"/>
      <w:r/>
      <w:bookmarkStart w:id="536" w:name="_Toc195842904"/>
      <w:r/>
      <w:bookmarkStart w:id="537" w:name="_Toc127151740"/>
      <w:r/>
      <w:bookmarkStart w:id="538" w:name="_Toc226965729"/>
      <w:r/>
      <w:bookmarkStart w:id="539" w:name="_Toc149720832"/>
      <w:r/>
      <w:bookmarkStart w:id="540" w:name="_Toc226337235"/>
      <w:r/>
      <w:bookmarkStart w:id="541" w:name="_Toc150774744"/>
      <w:r/>
      <w:bookmarkStart w:id="542" w:name="_Toc150774639"/>
      <w:r/>
      <w:bookmarkStart w:id="543" w:name="_Toc226309783"/>
      <w:r/>
      <w:bookmarkStart w:id="544" w:name="_Toc151193927"/>
      <w:r/>
      <w:bookmarkStart w:id="545" w:name="_Toc305158807"/>
      <w:r/>
      <w:bookmarkStart w:id="546" w:name="_Toc226965812"/>
      <w:r/>
      <w:bookmarkStart w:id="547" w:name="_Toc164229234"/>
      <w:r/>
      <w:bookmarkStart w:id="548" w:name="_Toc142311041"/>
      <w:r/>
      <w:bookmarkStart w:id="549" w:name="_Toc151193637"/>
      <w:r/>
      <w:bookmarkStart w:id="550" w:name="_Toc164229380"/>
      <w:r/>
      <w:bookmarkStart w:id="551" w:name="_Toc127161453"/>
      <w:r/>
      <w:bookmarkStart w:id="552" w:name="_Toc265228377"/>
      <w:r/>
      <w:bookmarkStart w:id="553" w:name="_Toc164608808"/>
      <w:r/>
      <w:bookmarkStart w:id="554" w:name="_Toc305158881"/>
      <w:r/>
      <w:bookmarkStart w:id="555" w:name="_Toc150480777"/>
      <w:r/>
      <w:bookmarkStart w:id="556" w:name="_Toc151193781"/>
      <w:r/>
      <w:bookmarkStart w:id="557" w:name="_Toc164608653"/>
      <w:r/>
      <w:bookmarkStart w:id="558" w:name="_Toc520356164"/>
      <w:r/>
      <w:bookmarkStart w:id="559" w:name="_Toc151193853"/>
      <w:r/>
      <w:bookmarkStart w:id="560" w:name="_Toc150509290"/>
      <w:r/>
      <w:bookmarkStart w:id="561" w:name="_Toc151190166"/>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10"/>
      <w:r/>
      <w:bookmarkStart w:id="564" w:name="_Toc127151741"/>
      <w:r/>
      <w:bookmarkStart w:id="565" w:name="_Toc164608809"/>
      <w:r/>
      <w:bookmarkStart w:id="566" w:name="_Toc226309784"/>
      <w:r/>
      <w:bookmarkStart w:id="567" w:name="_Toc150774745"/>
      <w:r/>
      <w:bookmarkStart w:id="568" w:name="_Toc164229235"/>
      <w:r/>
      <w:bookmarkStart w:id="569" w:name="_Toc305158882"/>
      <w:r/>
      <w:bookmarkStart w:id="570" w:name="_Toc151193782"/>
      <w:r/>
      <w:bookmarkStart w:id="571" w:name="_Toc164229381"/>
      <w:r/>
      <w:bookmarkStart w:id="572" w:name="_Toc195842905"/>
      <w:r/>
      <w:bookmarkStart w:id="573" w:name="_Toc150774640"/>
      <w:r/>
      <w:bookmarkStart w:id="574" w:name="_Toc226337236"/>
      <w:r/>
      <w:bookmarkStart w:id="575" w:name="_Toc150509291"/>
      <w:r/>
      <w:bookmarkStart w:id="576" w:name="_Toc164351634"/>
      <w:r/>
      <w:bookmarkStart w:id="577" w:name="_Toc142311042"/>
      <w:r/>
      <w:bookmarkStart w:id="578" w:name="_Toc150480778"/>
      <w:r/>
      <w:bookmarkStart w:id="579" w:name="_Toc226965813"/>
      <w:r/>
      <w:bookmarkStart w:id="580" w:name="_Toc305158808"/>
      <w:r/>
      <w:bookmarkStart w:id="581" w:name="_Toc164608654"/>
      <w:r/>
      <w:bookmarkStart w:id="582" w:name="_Toc127151540"/>
      <w:r/>
      <w:bookmarkStart w:id="583" w:name="_Toc151193638"/>
      <w:r/>
      <w:bookmarkStart w:id="584" w:name="_Toc226965730"/>
      <w:r/>
      <w:bookmarkStart w:id="585" w:name="_Toc151193854"/>
      <w:r/>
      <w:bookmarkStart w:id="586" w:name="_Toc265228378"/>
      <w:r/>
      <w:bookmarkStart w:id="587" w:name="_Toc151190167"/>
      <w:r/>
      <w:bookmarkStart w:id="588" w:name="_Toc149720833"/>
      <w:r/>
      <w:bookmarkStart w:id="589" w:name="_Toc264969230"/>
      <w:r/>
      <w:bookmarkStart w:id="590" w:name="_Toc127161454"/>
      <w:r/>
      <w:bookmarkStart w:id="591" w:name="_Toc15119392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94" w:name="_Toc226309789"/>
      <w:r/>
      <w:bookmarkStart w:id="595" w:name="_Toc151193933"/>
      <w:r/>
      <w:bookmarkStart w:id="596" w:name="_Toc150774645"/>
      <w:r/>
      <w:bookmarkStart w:id="597" w:name="_Toc127151545"/>
      <w:r/>
      <w:bookmarkStart w:id="598" w:name="_Toc151193859"/>
      <w:r/>
      <w:bookmarkStart w:id="599" w:name="_Toc150480783"/>
      <w:r/>
      <w:bookmarkStart w:id="600" w:name="_Toc265228383"/>
      <w:r/>
      <w:bookmarkStart w:id="601" w:name="_Toc151193787"/>
      <w:r/>
      <w:bookmarkStart w:id="602" w:name="_Toc151193715"/>
      <w:r/>
      <w:bookmarkStart w:id="603" w:name="_Toc305158887"/>
      <w:r/>
      <w:bookmarkStart w:id="604" w:name="_Toc226965818"/>
      <w:r/>
      <w:bookmarkStart w:id="605" w:name="_Toc150509296"/>
      <w:r/>
      <w:bookmarkStart w:id="606" w:name="_Toc151190172"/>
      <w:r/>
      <w:bookmarkStart w:id="607" w:name="_Toc195842910"/>
      <w:r/>
      <w:bookmarkStart w:id="608" w:name="_Toc226965735"/>
      <w:r/>
      <w:bookmarkStart w:id="609" w:name="_Toc305158813"/>
      <w:r/>
      <w:bookmarkStart w:id="610" w:name="_Toc264969235"/>
      <w:r/>
      <w:bookmarkStart w:id="611" w:name="_Toc150774750"/>
      <w:r/>
      <w:bookmarkStart w:id="612" w:name="_Toc151193643"/>
      <w:r/>
      <w:bookmarkStart w:id="613" w:name="_Toc142311047"/>
      <w:r/>
      <w:bookmarkStart w:id="614" w:name="_Toc226337241"/>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645"/>
      <w:r/>
      <w:bookmarkStart w:id="616" w:name="_Toc142311049"/>
      <w:r/>
      <w:bookmarkStart w:id="617" w:name="_Toc151193789"/>
      <w:r/>
      <w:bookmarkStart w:id="618" w:name="_Toc150509298"/>
      <w:r/>
      <w:bookmarkStart w:id="619" w:name="_Toc305158889"/>
      <w:r/>
      <w:bookmarkStart w:id="620" w:name="_Toc151190174"/>
      <w:r/>
      <w:bookmarkStart w:id="621" w:name="_Toc149720840"/>
      <w:r/>
      <w:bookmarkStart w:id="622" w:name="_Toc305158815"/>
      <w:r/>
      <w:bookmarkStart w:id="623" w:name="_Toc226337243"/>
      <w:r/>
      <w:bookmarkStart w:id="624" w:name="_Toc195842912"/>
      <w:r/>
      <w:bookmarkStart w:id="625" w:name="_Toc151193717"/>
      <w:r/>
      <w:bookmarkStart w:id="626" w:name="_Toc150480785"/>
      <w:r/>
      <w:bookmarkStart w:id="627" w:name="_Toc226965737"/>
      <w:r/>
      <w:bookmarkStart w:id="628" w:name="_Toc151193935"/>
      <w:r/>
      <w:bookmarkStart w:id="629" w:name="_Toc127151748"/>
      <w:r/>
      <w:bookmarkStart w:id="630" w:name="_Toc150774647"/>
      <w:r/>
      <w:bookmarkStart w:id="631" w:name="_Toc265228385"/>
      <w:r/>
      <w:bookmarkStart w:id="632" w:name="_Toc164608661"/>
      <w:r/>
      <w:bookmarkStart w:id="633" w:name="_Toc127161461"/>
      <w:r/>
      <w:bookmarkStart w:id="634" w:name="_Toc151193861"/>
      <w:r/>
      <w:bookmarkStart w:id="635" w:name="_Toc127151547"/>
      <w:r/>
      <w:bookmarkStart w:id="636" w:name="_Toc226965820"/>
      <w:r/>
      <w:bookmarkStart w:id="637" w:name="_Toc226309791"/>
      <w:r/>
      <w:bookmarkStart w:id="638" w:name="_Toc164608816"/>
      <w:r/>
      <w:bookmarkStart w:id="639" w:name="_Toc264969237"/>
      <w:r/>
      <w:bookmarkStart w:id="640" w:name="_Toc164229388"/>
      <w:r/>
      <w:bookmarkStart w:id="641" w:name="_Toc164229242"/>
      <w:r/>
      <w:bookmarkStart w:id="642" w:name="_Toc164351641"/>
      <w:r/>
      <w:bookmarkStart w:id="643" w:name="_Toc150774752"/>
      <w:r>
        <w:rPr>
          <w:rFonts w:hint="eastAsia" w:ascii="宋体" w:hAnsi="宋体" w:eastAsia="宋体" w:cs="宋体"/>
          <w:color w:val="000000"/>
          <w:sz w:val="28"/>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65228387"/>
      <w:r/>
      <w:bookmarkStart w:id="645" w:name="_Toc226309793"/>
      <w:r/>
      <w:bookmarkStart w:id="646" w:name="_Toc142311051"/>
      <w:r/>
      <w:bookmarkStart w:id="647" w:name="_Toc305158817"/>
      <w:r/>
      <w:bookmarkStart w:id="648" w:name="_Toc150774649"/>
      <w:r/>
      <w:bookmarkStart w:id="649" w:name="_Toc164608818"/>
      <w:r/>
      <w:bookmarkStart w:id="650" w:name="_Toc151193719"/>
      <w:r/>
      <w:bookmarkStart w:id="651" w:name="_Toc127161463"/>
      <w:r/>
      <w:bookmarkStart w:id="652" w:name="_Toc520356176"/>
      <w:r/>
      <w:bookmarkStart w:id="653" w:name="_Ref467306425"/>
      <w:r/>
      <w:bookmarkStart w:id="654" w:name="_Ref467307090"/>
      <w:r/>
      <w:bookmarkStart w:id="655" w:name="_Toc151193647"/>
      <w:r/>
      <w:bookmarkStart w:id="656" w:name="_Toc164229244"/>
      <w:r/>
      <w:bookmarkStart w:id="657" w:name="_Toc127151549"/>
      <w:r/>
      <w:bookmarkStart w:id="658" w:name="_Toc151190176"/>
      <w:r/>
      <w:bookmarkStart w:id="659" w:name="_Toc195842914"/>
      <w:r/>
      <w:bookmarkStart w:id="660" w:name="_Toc149720842"/>
      <w:r/>
      <w:bookmarkStart w:id="661" w:name="_Toc305158891"/>
      <w:r/>
      <w:bookmarkStart w:id="662" w:name="_Toc164351643"/>
      <w:r/>
      <w:bookmarkStart w:id="663" w:name="_Toc150480787"/>
      <w:r/>
      <w:bookmarkStart w:id="664" w:name="_Toc226965739"/>
      <w:r/>
      <w:bookmarkStart w:id="665" w:name="_Toc150509300"/>
      <w:r/>
      <w:bookmarkStart w:id="666" w:name="_Toc127151750"/>
      <w:r/>
      <w:bookmarkStart w:id="667" w:name="_Toc151193937"/>
      <w:r/>
      <w:bookmarkStart w:id="668" w:name="_Toc226965822"/>
      <w:r/>
      <w:bookmarkStart w:id="669" w:name="_Toc150774754"/>
      <w:r/>
      <w:bookmarkStart w:id="670" w:name="_Toc151193791"/>
      <w:r/>
      <w:bookmarkStart w:id="671" w:name="_Toc164229390"/>
      <w:r/>
      <w:bookmarkStart w:id="672" w:name="_Toc264969239"/>
      <w:r/>
      <w:bookmarkStart w:id="673" w:name="_Toc151193863"/>
      <w:r/>
      <w:bookmarkStart w:id="674" w:name="_Toc226337245"/>
      <w:r/>
      <w:bookmarkStart w:id="675" w:name="_Toc164608663"/>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4"/>
        <w:numPr>
          <w:ilvl w:val="2"/>
          <w:numId w:val="10"/>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37246"/>
      <w:r/>
      <w:bookmarkStart w:id="677" w:name="_Toc264969240"/>
      <w:r/>
      <w:bookmarkStart w:id="678" w:name="_Toc195842915"/>
      <w:r/>
      <w:bookmarkStart w:id="679" w:name="_Toc226309794"/>
      <w:r/>
      <w:bookmarkStart w:id="680" w:name="_Toc150774650"/>
      <w:r/>
      <w:bookmarkStart w:id="681" w:name="_Toc164608664"/>
      <w:r/>
      <w:bookmarkStart w:id="682" w:name="_Ref467306978"/>
      <w:r/>
      <w:bookmarkStart w:id="683" w:name="_Ref467307062"/>
      <w:r/>
      <w:bookmarkStart w:id="684" w:name="_Toc520356175"/>
      <w:r/>
      <w:bookmarkStart w:id="685" w:name="_Toc127151550"/>
      <w:r/>
      <w:bookmarkStart w:id="686" w:name="_Toc149720843"/>
      <w:r/>
      <w:bookmarkStart w:id="687" w:name="_Toc164608819"/>
      <w:r/>
      <w:bookmarkStart w:id="688" w:name="_Toc151193720"/>
      <w:r/>
      <w:bookmarkStart w:id="689" w:name="_Toc151190177"/>
      <w:r/>
      <w:bookmarkStart w:id="690" w:name="_Toc150480788"/>
      <w:r/>
      <w:bookmarkStart w:id="691" w:name="_Ref467306377"/>
      <w:r/>
      <w:bookmarkStart w:id="692" w:name="_Toc305158818"/>
      <w:r/>
      <w:bookmarkStart w:id="693" w:name="_Toc142311052"/>
      <w:r/>
      <w:bookmarkStart w:id="694" w:name="_Ref467307204"/>
      <w:r/>
      <w:bookmarkStart w:id="695" w:name="_Toc151193648"/>
      <w:r/>
      <w:bookmarkStart w:id="696" w:name="_Toc164351644"/>
      <w:r/>
      <w:bookmarkStart w:id="697" w:name="_Toc150509301"/>
      <w:r/>
      <w:bookmarkStart w:id="698" w:name="_Toc305158892"/>
      <w:r/>
      <w:bookmarkStart w:id="699" w:name="_Toc164229391"/>
      <w:r/>
      <w:bookmarkStart w:id="700" w:name="_Toc127161464"/>
      <w:r/>
      <w:bookmarkStart w:id="701" w:name="_Toc164229245"/>
      <w:r/>
      <w:bookmarkStart w:id="702" w:name="_Toc226965740"/>
      <w:r/>
      <w:bookmarkStart w:id="703" w:name="_Toc151193864"/>
      <w:r/>
      <w:bookmarkStart w:id="704" w:name="_Toc151193938"/>
      <w:r/>
      <w:bookmarkStart w:id="705" w:name="_Toc151193792"/>
      <w:r/>
      <w:bookmarkStart w:id="706" w:name="_Toc150774755"/>
      <w:r/>
      <w:bookmarkStart w:id="707" w:name="_Toc127151751"/>
      <w:r/>
      <w:bookmarkStart w:id="708" w:name="_Toc265228388"/>
      <w:r/>
      <w:bookmarkStart w:id="709" w:name="_Toc226965823"/>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4"/>
        <w:numPr>
          <w:ilvl w:val="2"/>
          <w:numId w:val="10"/>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9"/>
          <w:rFonts w:hint="eastAsia" w:ascii="宋体" w:hAnsi="宋体" w:cs="宋体"/>
          <w:color w:val="000000"/>
          <w:highlight w:val="none"/>
        </w:rPr>
        <w:t xml:space="preserve">http://gk</w:t>
      </w:r>
      <w:bookmarkStart w:id="710" w:name="_Hlt100654014"/>
      <w:r>
        <w:rPr>
          <w:rStyle w:val="1149"/>
          <w:rFonts w:hint="eastAsia" w:ascii="宋体" w:hAnsi="宋体" w:cs="宋体"/>
          <w:color w:val="000000"/>
          <w:highlight w:val="none"/>
        </w:rPr>
        <w:t xml:space="preserve">s</w:t>
      </w:r>
      <w:bookmarkEnd w:id="710"/>
      <w:r>
        <w:rPr>
          <w:rStyle w:val="1149"/>
          <w:rFonts w:hint="eastAsia" w:ascii="宋体" w:hAnsi="宋体" w:cs="宋体"/>
          <w:color w:val="000000"/>
          <w:highlight w:val="none"/>
        </w:rPr>
        <w:t xml:space="preserve">.m</w:t>
      </w:r>
      <w:bookmarkStart w:id="711" w:name="_Hlt100653994"/>
      <w:r/>
      <w:bookmarkStart w:id="712" w:name="_Hlt100653993"/>
      <w:r>
        <w:rPr>
          <w:rStyle w:val="1149"/>
          <w:rFonts w:hint="eastAsia" w:ascii="宋体" w:hAnsi="宋体" w:cs="宋体"/>
          <w:color w:val="000000"/>
          <w:highlight w:val="none"/>
        </w:rPr>
        <w:t xml:space="preserve">o</w:t>
      </w:r>
      <w:bookmarkEnd w:id="711"/>
      <w:r/>
      <w:bookmarkEnd w:id="712"/>
      <w:r>
        <w:rPr>
          <w:rStyle w:val="1149"/>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4"/>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4"/>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4"/>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4"/>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13" w:name="_Toc226965827"/>
      <w:r/>
      <w:bookmarkStart w:id="714" w:name="_Toc264969244"/>
      <w:r/>
      <w:bookmarkStart w:id="715" w:name="_Toc127151554"/>
      <w:r/>
      <w:bookmarkStart w:id="716" w:name="_Toc142311056"/>
      <w:r/>
      <w:bookmarkStart w:id="717" w:name="_Toc265228392"/>
      <w:r/>
      <w:bookmarkStart w:id="718" w:name="_Toc150774759"/>
      <w:r/>
      <w:bookmarkStart w:id="719" w:name="_Toc353825544"/>
      <w:r/>
      <w:bookmarkStart w:id="720" w:name="_Toc226337250"/>
      <w:r/>
      <w:bookmarkStart w:id="721" w:name="_Toc305158822"/>
      <w:r/>
      <w:bookmarkStart w:id="722" w:name="_Toc150480792"/>
      <w:r/>
      <w:bookmarkStart w:id="723" w:name="_Toc305158896"/>
      <w:r/>
      <w:bookmarkStart w:id="724" w:name="_Toc353873664"/>
      <w:r/>
      <w:bookmarkStart w:id="725" w:name="_Toc35387393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4"/>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4"/>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4"/>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226965858"/>
            <w:r/>
            <w:bookmarkStart w:id="731" w:name="_Toc353873940"/>
            <w:r/>
            <w:bookmarkStart w:id="732" w:name="_Toc127161490"/>
            <w:r/>
            <w:bookmarkStart w:id="733" w:name="_Toc353825550"/>
            <w:r/>
            <w:bookmarkStart w:id="734" w:name="_Toc12715177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491"/>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4"/>
        <w:numPr>
          <w:ilvl w:val="0"/>
          <w:numId w:val="14"/>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229382"/>
      <w:r/>
      <w:bookmarkStart w:id="738" w:name="_Toc127161455"/>
      <w:r/>
      <w:bookmarkStart w:id="739" w:name="_Toc164229236"/>
      <w:r/>
      <w:bookmarkStart w:id="740" w:name="_Toc150509292"/>
      <w:r/>
      <w:bookmarkStart w:id="741" w:name="_Toc305158809"/>
      <w:r/>
      <w:bookmarkStart w:id="742" w:name="_Toc195842906"/>
      <w:r/>
      <w:bookmarkStart w:id="743" w:name="_Toc305158883"/>
      <w:r/>
      <w:bookmarkStart w:id="744" w:name="_Toc150774746"/>
      <w:r/>
      <w:bookmarkStart w:id="745" w:name="_Toc226309785"/>
      <w:r/>
      <w:bookmarkStart w:id="746" w:name="_Toc265228379"/>
      <w:r/>
      <w:bookmarkStart w:id="747" w:name="_Toc127151742"/>
      <w:r/>
      <w:bookmarkStart w:id="748" w:name="_Toc151193711"/>
      <w:r/>
      <w:bookmarkStart w:id="749" w:name="_Toc164608810"/>
      <w:r/>
      <w:bookmarkStart w:id="750" w:name="_Toc150480779"/>
      <w:r/>
      <w:bookmarkStart w:id="751" w:name="_Toc226337237"/>
      <w:r/>
      <w:bookmarkStart w:id="752" w:name="_Toc151190168"/>
      <w:r/>
      <w:bookmarkStart w:id="753" w:name="_Toc127151541"/>
      <w:r/>
      <w:bookmarkStart w:id="754" w:name="_Toc164608655"/>
      <w:r/>
      <w:bookmarkStart w:id="755" w:name="_Toc164351635"/>
      <w:r/>
      <w:bookmarkStart w:id="756" w:name="_Toc226965814"/>
      <w:r/>
      <w:bookmarkStart w:id="757" w:name="_Toc142311043"/>
      <w:r/>
      <w:bookmarkStart w:id="758" w:name="_Toc264969231"/>
      <w:r/>
      <w:bookmarkStart w:id="759" w:name="_Toc149720834"/>
      <w:r/>
      <w:bookmarkStart w:id="760" w:name="_Toc151193783"/>
      <w:r/>
      <w:bookmarkStart w:id="761" w:name="_Toc226965731"/>
      <w:r/>
      <w:bookmarkStart w:id="762" w:name="_Toc151193855"/>
      <w:r/>
      <w:bookmarkStart w:id="763" w:name="_Toc150774641"/>
      <w:r/>
      <w:bookmarkStart w:id="764" w:name="_Toc151193929"/>
      <w:r/>
      <w:bookmarkStart w:id="765" w:name="_Toc151193639"/>
      <w:r/>
      <w:bookmarkStart w:id="766" w:name="_Toc353825551"/>
      <w:r/>
      <w:bookmarkStart w:id="767" w:name="_Toc353873941"/>
      <w:r/>
      <w:bookmarkStart w:id="768" w:name="_Toc264969245"/>
      <w:r/>
      <w:bookmarkStart w:id="769" w:name="_Toc265228393"/>
      <w:r/>
      <w:bookmarkStart w:id="770" w:name="_Toc226965828"/>
      <w:r/>
      <w:bookmarkStart w:id="771" w:name="_Toc195842920"/>
      <w:r/>
      <w:bookmarkStart w:id="772" w:name="_Toc150480793"/>
      <w:r/>
      <w:bookmarkStart w:id="773" w:name="_Toc150774760"/>
      <w:r/>
      <w:bookmarkStart w:id="774" w:name="_Toc142311057"/>
      <w:r/>
      <w:bookmarkStart w:id="775" w:name="_Toc353825545"/>
      <w:r/>
      <w:bookmarkStart w:id="776" w:name="_Toc353873665"/>
      <w:r/>
      <w:bookmarkStart w:id="777" w:name="_Toc226337251"/>
      <w:r/>
      <w:bookmarkStart w:id="778" w:name="_Toc353873935"/>
      <w:r/>
      <w:bookmarkStart w:id="779" w:name="_Toc305158897"/>
      <w:r/>
      <w:bookmarkStart w:id="780" w:name="_Toc305158823"/>
      <w:r/>
      <w:bookmarkStart w:id="781" w:name="_Toc12715155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4"/>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4"/>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 标（响应）报价&lt;采购项目最高限价×45%；</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 量或者不能诚信履约的其他情形。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4"/>
        <w:numPr>
          <w:ilvl w:val="0"/>
          <w:numId w:val="15"/>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4"/>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4"/>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305158814"/>
      <w:r/>
      <w:bookmarkStart w:id="784" w:name="_Toc151190173"/>
      <w:r/>
      <w:bookmarkStart w:id="785" w:name="_Toc226965819"/>
      <w:r/>
      <w:bookmarkStart w:id="786" w:name="_Toc520356170"/>
      <w:r/>
      <w:bookmarkStart w:id="787" w:name="_Toc127161460"/>
      <w:r/>
      <w:bookmarkStart w:id="788" w:name="_Toc264969236"/>
      <w:r/>
      <w:bookmarkStart w:id="789" w:name="_Toc151193788"/>
      <w:r/>
      <w:bookmarkStart w:id="790" w:name="_Toc151193644"/>
      <w:r/>
      <w:bookmarkStart w:id="791" w:name="_Toc305158888"/>
      <w:r/>
      <w:bookmarkStart w:id="792" w:name="_Toc150509297"/>
      <w:r/>
      <w:bookmarkStart w:id="793" w:name="_Toc151193860"/>
      <w:r/>
      <w:bookmarkStart w:id="794" w:name="_Toc164229241"/>
      <w:r/>
      <w:bookmarkStart w:id="795" w:name="_Toc142311048"/>
      <w:r/>
      <w:bookmarkStart w:id="796" w:name="_Toc151193716"/>
      <w:r/>
      <w:bookmarkStart w:id="797" w:name="_Toc195842911"/>
      <w:r/>
      <w:bookmarkStart w:id="798" w:name="_Toc150774646"/>
      <w:r/>
      <w:bookmarkStart w:id="799" w:name="_Toc164608660"/>
      <w:r/>
      <w:bookmarkStart w:id="800" w:name="_Toc149720839"/>
      <w:r/>
      <w:bookmarkStart w:id="801" w:name="_Toc150774751"/>
      <w:r/>
      <w:bookmarkStart w:id="802" w:name="_Toc150480784"/>
      <w:r/>
      <w:bookmarkStart w:id="803" w:name="_Toc226965736"/>
      <w:r/>
      <w:bookmarkStart w:id="804" w:name="_Toc151193934"/>
      <w:r/>
      <w:bookmarkStart w:id="805" w:name="_Toc127151747"/>
      <w:r/>
      <w:bookmarkStart w:id="806" w:name="_Toc164351640"/>
      <w:r/>
      <w:bookmarkStart w:id="807" w:name="_Toc164229387"/>
      <w:r/>
      <w:bookmarkStart w:id="808" w:name="_Toc164608815"/>
      <w:r/>
      <w:bookmarkStart w:id="809" w:name="_Toc265228384"/>
      <w:r/>
      <w:bookmarkStart w:id="810" w:name="_Toc127151546"/>
      <w:r/>
      <w:bookmarkStart w:id="811" w:name="_Toc226309790"/>
      <w:r/>
      <w:bookmarkStart w:id="812" w:name="_Ref467307010"/>
      <w:r/>
      <w:bookmarkStart w:id="813" w:name="_Toc226337242"/>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4"/>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4"/>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4"/>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4"/>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4"/>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369"/>
        <w:gridCol w:w="883"/>
        <w:gridCol w:w="3612"/>
        <w:gridCol w:w="2583"/>
      </w:tblGrid>
      <w:tr>
        <w:trPr>
          <w:trHeight w:val="170"/>
        </w:trPr>
        <w:tc>
          <w:tcPr>
            <w:tcW w:w="453"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89" w:type="dxa"/>
            <w:vAlign w:val="center"/>
            <w:textDirection w:val="lrTb"/>
            <w:noWrap w:val="false"/>
          </w:tcPr>
          <w:p>
            <w:pPr>
              <w:pStyle w:val="1135"/>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3"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4"/>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89" w:type="dxa"/>
            <w:vAlign w:val="center"/>
            <w:textDirection w:val="lrTb"/>
            <w:noWrap w:val="false"/>
          </w:tcPr>
          <w:p>
            <w:pPr>
              <w:pStyle w:val="1074"/>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val="en-US" w:eastAsia="zh-CN"/>
              </w:rPr>
            </w:pP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W w:w="1944"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2.1</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4"/>
              <w:jc w:val="left"/>
              <w:spacing w:line="360" w:lineRule="exact"/>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2.2</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5"/>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培训方案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cs="宋体"/>
                <w:color w:val="000000"/>
                <w:sz w:val="24"/>
                <w:highlight w:val="none"/>
                <w:lang w:val="en-US" w:eastAsia="zh-CN" w:bidi="ar"/>
              </w:rPr>
            </w:r>
            <w:r/>
          </w:p>
        </w:tc>
        <w:tc>
          <w:tcPr>
            <w:tcW w:w="1369" w:type="dxa"/>
            <w:vAlign w:val="center"/>
            <w:textDirection w:val="lrTb"/>
            <w:noWrap w:val="false"/>
          </w:tcPr>
          <w:p>
            <w:pPr>
              <w:pStyle w:val="1074"/>
              <w:jc w:val="lef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bidi="ar"/>
              </w:rPr>
            </w:r>
            <w:r/>
          </w:p>
        </w:tc>
        <w:tc>
          <w:tcPr>
            <w:tcW w:w="883" w:type="dxa"/>
            <w:vAlign w:val="center"/>
            <w:textDirection w:val="lrTb"/>
            <w:noWrap w:val="false"/>
          </w:tcPr>
          <w:p>
            <w:pPr>
              <w:pStyle w:val="1074"/>
              <w:jc w:val="center"/>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r>
            <w:r/>
          </w:p>
        </w:tc>
        <w:tc>
          <w:tcPr>
            <w:tcW w:w="3612" w:type="dxa"/>
            <w:vAlign w:val="center"/>
            <w:textDirection w:val="lrTb"/>
            <w:noWrap w:val="false"/>
          </w:tcPr>
          <w:p>
            <w:pPr>
              <w:pStyle w:val="1074"/>
              <w:jc w:val="left"/>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zh-CN" w:bidi="ar"/>
              </w:rPr>
              <w:t xml:space="preserve">投标人提供产品质量保障方案</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eastAsia="zh-CN" w:bidi="ar"/>
              </w:rPr>
            </w:r>
            <w:r/>
          </w:p>
          <w:p>
            <w:pPr>
              <w:pStyle w:val="1074"/>
              <w:jc w:val="left"/>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w:t>
            </w:r>
            <w:r>
              <w:rPr>
                <w:rFonts w:hint="eastAsia" w:ascii="宋体" w:hAnsi="宋体" w:eastAsia="宋体" w:cs="宋体"/>
                <w:color w:val="000000"/>
                <w:sz w:val="24"/>
                <w:highlight w:val="none"/>
                <w:lang w:val="en-US" w:eastAsia="zh-CN" w:bidi="ar"/>
              </w:rPr>
            </w:r>
            <w:r/>
          </w:p>
          <w:p>
            <w:pPr>
              <w:pStyle w:val="1074"/>
              <w:jc w:val="left"/>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方案所包含的要点齐全、内容与要点相符，但仅有纲要内容简略，未展开阐述的得3分；</w:t>
            </w:r>
            <w:r>
              <w:rPr>
                <w:rFonts w:hint="eastAsia" w:ascii="宋体" w:hAnsi="宋体" w:eastAsia="宋体" w:cs="宋体"/>
                <w:color w:val="000000"/>
                <w:sz w:val="24"/>
                <w:highlight w:val="none"/>
                <w:lang w:val="en-US" w:eastAsia="zh-CN" w:bidi="ar"/>
              </w:rPr>
            </w:r>
            <w:r/>
          </w:p>
          <w:p>
            <w:pPr>
              <w:pStyle w:val="1074"/>
              <w:jc w:val="left"/>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方案所包含的要点有缺漏或内容存在错误的得1分；</w:t>
            </w:r>
            <w:r>
              <w:rPr>
                <w:rFonts w:hint="eastAsia" w:ascii="宋体" w:hAnsi="宋体" w:eastAsia="宋体" w:cs="宋体"/>
                <w:color w:val="000000"/>
                <w:sz w:val="24"/>
                <w:highlight w:val="none"/>
                <w:lang w:val="en-US" w:eastAsia="zh-CN" w:bidi="ar"/>
              </w:rPr>
            </w:r>
            <w:r/>
          </w:p>
          <w:p>
            <w:pPr>
              <w:pStyle w:val="1074"/>
              <w:jc w:val="lef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未提供的不得分。</w:t>
            </w:r>
            <w:r>
              <w:rPr>
                <w:rFonts w:hint="eastAsia" w:ascii="宋体" w:hAnsi="宋体" w:eastAsia="宋体" w:cs="宋体"/>
                <w:color w:val="000000"/>
                <w:sz w:val="24"/>
                <w:highlight w:val="none"/>
                <w:lang w:bidi="ar"/>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4"/>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2.5</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4"/>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质保期满后维保收费及内容比较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质保期满后维保收费及内容比较：</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提供零配件和维修备品备件的供应保障和维保期满后维保收费及维保方案内容完整清晰，优于项目需求的得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零配件和维修备品备件的供应保障和维保期满后维保收费及维保方案内容较完整，满足项目需求的得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零配件和维修备品备件的供应保障和维保期满后维保收费及维保方案内容介绍简单的得1分；</w:t>
            </w:r>
            <w:r>
              <w:rPr>
                <w:rFonts w:hint="eastAsia"/>
                <w:color w:val="000000"/>
                <w:highlight w:val="none"/>
              </w:rPr>
            </w:r>
            <w:r/>
          </w:p>
          <w:p>
            <w:pPr>
              <w:pStyle w:val="1135"/>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5"/>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5"/>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情况比较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5"/>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其余不得分。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客</w:t>
            </w:r>
            <w:r>
              <w:rPr>
                <w:rFonts w:hint="eastAsia" w:ascii="宋体" w:hAnsi="宋体" w:cs="宋体"/>
                <w:color w:val="000000"/>
                <w:sz w:val="24"/>
                <w:highlight w:val="none"/>
                <w:lang w:bidi="ar"/>
              </w:rPr>
              <w:t xml:space="preserve">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43</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技术部分</w:t>
            </w:r>
            <w:r>
              <w:rPr>
                <w:rFonts w:hint="eastAsia" w:ascii="宋体" w:hAnsi="宋体" w:cs="宋体"/>
                <w:color w:val="000000"/>
                <w:sz w:val="24"/>
                <w:szCs w:val="24"/>
                <w:highlight w:val="none"/>
                <w:lang w:val="en-US" w:eastAsia="zh-CN" w:bidi="ar-SA"/>
              </w:rPr>
            </w:r>
            <w:r/>
          </w:p>
        </w:tc>
        <w:tc>
          <w:tcPr>
            <w:tcW w:w="883"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38</w:t>
            </w:r>
            <w:r>
              <w:rPr>
                <w:rFonts w:hint="eastAsia" w:ascii="宋体" w:hAnsi="宋体" w:cs="宋体"/>
                <w:color w:val="000000"/>
                <w:sz w:val="24"/>
                <w:szCs w:val="24"/>
                <w:highlight w:val="none"/>
                <w:lang w:val="en-US" w:eastAsia="zh-CN" w:bidi="ar-SA"/>
              </w:rPr>
            </w:r>
            <w:r/>
          </w:p>
        </w:tc>
        <w:tc>
          <w:tcPr>
            <w:tcW w:w="3612" w:type="dxa"/>
            <w:vAlign w:val="center"/>
            <w:textDirection w:val="lrTb"/>
            <w:noWrap w:val="false"/>
          </w:tcPr>
          <w:p>
            <w:pPr>
              <w:pStyle w:val="1074"/>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技术要求的符合性，即对提供货物的技术参数、配置、性能是否符合或优于招标文件要求进行评价。符合技术要求的得38分；采购技术要求中带“▲”参数为重要参数，每有一项负偏离的，扣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szCs w:val="24"/>
                <w:highlight w:val="none"/>
                <w:lang w:val="en-US" w:eastAsia="zh-CN" w:bidi="ar-SA"/>
              </w:rPr>
            </w:r>
            <w:r/>
          </w:p>
        </w:tc>
        <w:tc>
          <w:tcPr>
            <w:tcW w:w="2583" w:type="dxa"/>
            <w:vAlign w:val="center"/>
            <w:textDirection w:val="lrTb"/>
            <w:noWrap w:val="false"/>
          </w:tcPr>
          <w:p>
            <w:pPr>
              <w:pStyle w:val="1074"/>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功能截图等技术支持性文件资料</w:t>
            </w:r>
            <w:r>
              <w:rPr>
                <w:rFonts w:hint="eastAsia" w:ascii="宋体" w:hAnsi="宋体" w:cs="宋体"/>
                <w:b/>
                <w:color w:val="000000"/>
                <w:sz w:val="24"/>
                <w:highlight w:val="none"/>
                <w:lang w:eastAsia="zh-CN" w:bidi="ar"/>
              </w:rPr>
              <w:t xml:space="preserve">(如</w:t>
            </w:r>
            <w:r>
              <w:rPr>
                <w:rFonts w:hint="eastAsia" w:ascii="宋体" w:hAnsi="宋体" w:cs="宋体"/>
                <w:b/>
                <w:color w:val="000000"/>
                <w:sz w:val="24"/>
                <w:highlight w:val="none"/>
                <w:lang w:bidi="ar"/>
              </w:rPr>
              <w:t xml:space="preserve">技术支持性文件资料</w:t>
            </w:r>
            <w:r>
              <w:rPr>
                <w:rFonts w:hint="eastAsia" w:ascii="宋体" w:hAnsi="宋体" w:cs="宋体"/>
                <w:b/>
                <w:color w:val="000000"/>
                <w:sz w:val="24"/>
                <w:highlight w:val="none"/>
                <w:lang w:val="en-US" w:eastAsia="zh-CN" w:bidi="ar"/>
              </w:rPr>
              <w:t xml:space="preserve">非中文版本的</w:t>
            </w:r>
            <w:r>
              <w:rPr>
                <w:rFonts w:hint="eastAsia" w:ascii="宋体" w:hAnsi="宋体" w:cs="宋体"/>
                <w:b/>
                <w:color w:val="000000"/>
                <w:sz w:val="24"/>
                <w:highlight w:val="none"/>
                <w:lang w:eastAsia="zh-CN" w:bidi="ar"/>
              </w:rPr>
              <w:t xml:space="preserve">，请同时提供中文</w:t>
            </w:r>
            <w:r>
              <w:rPr>
                <w:rFonts w:hint="eastAsia" w:ascii="宋体" w:hAnsi="宋体" w:cs="宋体"/>
                <w:b/>
                <w:color w:val="000000"/>
                <w:sz w:val="24"/>
                <w:highlight w:val="none"/>
                <w:lang w:val="en-US" w:eastAsia="zh-CN" w:bidi="ar"/>
              </w:rPr>
              <w:t xml:space="preserve">翻译</w:t>
            </w:r>
            <w:r>
              <w:rPr>
                <w:rFonts w:hint="eastAsia" w:ascii="宋体" w:hAnsi="宋体" w:cs="宋体"/>
                <w:b/>
                <w:color w:val="000000"/>
                <w:sz w:val="24"/>
                <w:highlight w:val="none"/>
                <w:lang w:eastAsia="zh-CN" w:bidi="ar"/>
              </w:rPr>
              <w:t xml:space="preserve">版)</w:t>
            </w:r>
            <w:r>
              <w:rPr>
                <w:rFonts w:hint="eastAsia" w:ascii="宋体" w:hAnsi="宋体" w:cs="宋体"/>
                <w:b/>
                <w:color w:val="000000"/>
                <w:sz w:val="24"/>
                <w:highlight w:val="none"/>
                <w:lang w:bidi="ar"/>
              </w:rPr>
              <w:t xml:space="preserve">，未提供或提供的证明材料不符合要求视为负偏离。 </w:t>
            </w:r>
            <w:r>
              <w:rPr>
                <w:rFonts w:ascii="宋体" w:hAnsi="宋体" w:cs="宋体"/>
                <w:b/>
                <w:color w:val="000000"/>
                <w:sz w:val="24"/>
                <w:highlight w:val="none"/>
                <w:lang w:bidi="ar"/>
              </w:rPr>
            </w:r>
            <w:r/>
          </w:p>
          <w:p>
            <w:pPr>
              <w:pStyle w:val="1074"/>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业绩</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5"/>
              <w:spacing w:before="0" w:beforeAutospacing="0" w:after="0" w:afterAutospacing="0" w:line="360" w:lineRule="exact"/>
              <w:widowControl w:val="off"/>
              <w:rPr>
                <w:rFonts w:hint="eastAsia" w:ascii="宋体" w:hAnsi="宋体" w:cs="宋体"/>
                <w:b/>
                <w:color w:val="000000"/>
                <w:sz w:val="24"/>
                <w:szCs w:val="24"/>
                <w:highlight w:val="none"/>
                <w:lang w:val="en-US" w:eastAsia="zh-CN" w:bidi="ar-SA"/>
              </w:rPr>
            </w:pPr>
            <w:r/>
            <w:bookmarkStart w:id="814" w:name="OLE_LINK22"/>
            <w:r>
              <w:rPr>
                <w:rFonts w:hint="eastAsia"/>
                <w:color w:val="000000"/>
                <w:highlight w:val="none"/>
                <w:lang w:bidi="ar"/>
              </w:rPr>
              <w:t xml:space="preserve">提供</w:t>
            </w:r>
            <w:r>
              <w:rPr>
                <w:rFonts w:hint="eastAsia"/>
                <w:b/>
                <w:bCs/>
                <w:color w:val="000000"/>
                <w:highlight w:val="none"/>
                <w:lang w:val="en-US" w:eastAsia="zh-CN" w:bidi="ar"/>
              </w:rPr>
              <w:t xml:space="preserve">投标人</w:t>
            </w:r>
            <w:r>
              <w:rPr>
                <w:rFonts w:hint="eastAsia"/>
                <w:b/>
                <w:bCs/>
                <w:color w:val="000000"/>
                <w:highlight w:val="none"/>
                <w:lang w:val="zh-CN" w:eastAsia="zh-CN" w:bidi="ar"/>
              </w:rPr>
              <w:t xml:space="preserve">或者制造商(含制造商其他代理商)</w:t>
            </w:r>
            <w:r>
              <w:rPr>
                <w:rFonts w:hint="eastAsia"/>
                <w:color w:val="000000"/>
                <w:highlight w:val="none"/>
                <w:lang w:bidi="ar"/>
              </w:rPr>
              <w:t xml:space="preserve">自2022年1月1日以来在国内的销售合同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w:t>
            </w:r>
            <w:r>
              <w:rPr>
                <w:rFonts w:hint="eastAsia"/>
                <w:color w:val="000000"/>
                <w:highlight w:val="none"/>
                <w:lang w:val="en-US" w:eastAsia="zh-CN" w:bidi="ar"/>
              </w:rPr>
              <w:t xml:space="preserve">1</w:t>
            </w:r>
            <w:r>
              <w:rPr>
                <w:rFonts w:hint="eastAsia"/>
                <w:color w:val="000000"/>
                <w:highlight w:val="none"/>
                <w:lang w:bidi="ar"/>
              </w:rPr>
              <w:t xml:space="preserve">分，最多得</w:t>
            </w:r>
            <w:r>
              <w:rPr>
                <w:rFonts w:hint="eastAsia"/>
                <w:color w:val="000000"/>
                <w:highlight w:val="none"/>
                <w:lang w:val="en-US" w:eastAsia="zh-CN" w:bidi="ar"/>
              </w:rPr>
              <w:t xml:space="preserve">2</w:t>
            </w:r>
            <w:r>
              <w:rPr>
                <w:rFonts w:hint="eastAsia"/>
                <w:color w:val="000000"/>
                <w:highlight w:val="none"/>
                <w:lang w:bidi="ar"/>
              </w:rPr>
              <w:t xml:space="preserve">分。</w:t>
            </w:r>
            <w:bookmarkEnd w:id="814"/>
            <w:r>
              <w:rPr>
                <w:rFonts w:hint="eastAsia" w:ascii="宋体" w:hAnsi="宋体" w:cs="宋体"/>
                <w:b/>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1、提供合同复印件；</w:t>
            </w:r>
            <w:r>
              <w:rPr>
                <w:rFonts w:hint="eastAsia" w:ascii="宋体" w:hAnsi="宋体" w:cs="宋体"/>
                <w:color w:val="000000"/>
                <w:sz w:val="24"/>
                <w:szCs w:val="24"/>
                <w:highlight w:val="none"/>
                <w:lang w:val="en-US" w:eastAsia="zh-CN" w:bidi="ar-SA"/>
              </w:rPr>
            </w:r>
            <w:r/>
          </w:p>
          <w:p>
            <w:pPr>
              <w:pStyle w:val="1074"/>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2、时间以合同签订时间为准；</w:t>
            </w:r>
            <w:r>
              <w:rPr>
                <w:rFonts w:hint="eastAsia" w:ascii="宋体" w:hAnsi="宋体" w:cs="宋体"/>
                <w:color w:val="000000"/>
                <w:sz w:val="24"/>
                <w:szCs w:val="24"/>
                <w:highlight w:val="none"/>
                <w:lang w:val="en-US" w:eastAsia="zh-CN" w:bidi="ar-SA"/>
              </w:rPr>
            </w:r>
            <w:r/>
          </w:p>
          <w:p>
            <w:pPr>
              <w:pStyle w:val="1074"/>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3、合同甲方应为最终实际使用合同标的的一方。</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2</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5"/>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投标产品的免费</w:t>
            </w:r>
            <w:r>
              <w:rPr>
                <w:rFonts w:hint="eastAsia"/>
                <w:color w:val="000000"/>
                <w:highlight w:val="none"/>
                <w:lang w:bidi="ar"/>
              </w:rPr>
              <w:t xml:space="preserve">质保期</w:t>
            </w:r>
            <w:r>
              <w:rPr>
                <w:rFonts w:hint="eastAsia"/>
                <w:color w:val="000000"/>
                <w:highlight w:val="none"/>
                <w:lang w:bidi="ar"/>
              </w:rPr>
              <w:t xml:space="preserve">满足招标文件要求的基础上，免费</w:t>
            </w:r>
            <w:r>
              <w:rPr>
                <w:rFonts w:hint="eastAsia"/>
                <w:color w:val="000000"/>
                <w:highlight w:val="none"/>
                <w:lang w:bidi="ar"/>
              </w:rPr>
              <w:t xml:space="preserve">质保期</w:t>
            </w:r>
            <w:r>
              <w:rPr>
                <w:rFonts w:hint="eastAsia"/>
                <w:color w:val="000000"/>
                <w:highlight w:val="none"/>
                <w:lang w:bidi="ar"/>
              </w:rPr>
              <w:t xml:space="preserve">延长1年得</w:t>
            </w:r>
            <w:r>
              <w:rPr>
                <w:rFonts w:hint="eastAsia" w:ascii="宋体" w:hAnsi="宋体" w:eastAsia="宋体" w:cs="宋体"/>
                <w:bCs/>
                <w:color w:val="000000"/>
                <w:sz w:val="24"/>
                <w:szCs w:val="24"/>
                <w:highlight w:val="none"/>
                <w:lang w:val="en-US" w:eastAsia="zh-CN" w:bidi="ar"/>
              </w:rPr>
              <w:t xml:space="preserve">2</w:t>
            </w:r>
            <w:r>
              <w:rPr>
                <w:rFonts w:hint="eastAsia"/>
                <w:color w:val="000000"/>
                <w:highlight w:val="none"/>
                <w:lang w:bidi="ar"/>
              </w:rPr>
              <w:t xml:space="preserve">分,最多得2分。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提供服务承诺书</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36"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4"/>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1</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5"/>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r>
            <w:r/>
          </w:p>
        </w:tc>
      </w:tr>
      <w:tr>
        <w:trPr>
          <w:trHeight w:val="170"/>
        </w:trPr>
        <w:tc>
          <w:tcPr>
            <w:gridSpan w:val="2"/>
            <w:tcW w:w="2210"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center"/>
        <w:spacing w:line="360" w:lineRule="auto"/>
        <w:rPr>
          <w:rFonts w:hint="eastAsia"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hint="eastAsia" w:ascii="宋体" w:hAnsi="宋体"/>
          <w:b/>
          <w:color w:val="000000"/>
          <w:sz w:val="36"/>
          <w:szCs w:val="36"/>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w:t>
      </w:r>
      <w:r>
        <w:rPr>
          <w:rFonts w:hint="eastAsia" w:ascii="宋体" w:hAnsi="宋体" w:cs="宋体"/>
          <w:color w:val="000000"/>
          <w:sz w:val="24"/>
          <w:highlight w:val="none"/>
          <w:lang w:eastAsia="zh-CN" w:bidi="ar"/>
        </w:rPr>
        <w:t xml:space="preserve">常州市新北区公共卫生康复中心及突发公共卫生事件应急隔离场所建设所需内镜洗消一体机采购项目</w:t>
      </w:r>
      <w:r>
        <w:rPr>
          <w:rFonts w:hint="eastAsia" w:ascii="宋体" w:hAnsi="宋体" w:cs="宋体"/>
          <w:color w:val="000000"/>
          <w:sz w:val="24"/>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color w:val="000000"/>
          <w:sz w:val="24"/>
          <w:highlight w:val="none"/>
          <w:lang w:val="zh-CN" w:bidi="ar"/>
        </w:rPr>
        <w:t xml:space="preserve">配置选型、与项目需求的吻合度等。</w:t>
      </w:r>
      <w:r>
        <w:rPr>
          <w:rFonts w:hint="eastAsia" w:ascii="宋体" w:hAnsi="宋体" w:cs="宋体"/>
          <w:color w:val="000000"/>
          <w:sz w:val="24"/>
          <w:highlight w:val="none"/>
          <w:lang w:val="en-US" w:eastAsia="zh-CN" w:bidi="ar"/>
        </w:rPr>
        <w:t xml:space="preserve">⑥</w:t>
      </w: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en-US" w:eastAsia="zh-CN" w:bidi="ar"/>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7"/>
        <w:gridCol w:w="2663"/>
      </w:tblGrid>
      <w:tr>
        <w:trPr>
          <w:trHeight w:val="170"/>
        </w:trPr>
        <w:tc>
          <w:tcPr>
            <w:tcW w:w="852"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649"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1064"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1433"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852"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649" w:type="dxa"/>
            <w:vAlign w:val="center"/>
            <w:textDirection w:val="lrTb"/>
            <w:noWrap w:val="false"/>
          </w:tcPr>
          <w:p>
            <w:pPr>
              <w:pStyle w:val="1074"/>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内镜洗消一体机</w:t>
            </w:r>
            <w:r>
              <w:rPr>
                <w:rFonts w:hint="eastAsia" w:ascii="宋体" w:hAnsi="宋体" w:eastAsia="宋体" w:cs="宋体"/>
                <w:color w:val="000000"/>
                <w:sz w:val="24"/>
                <w:highlight w:val="none"/>
                <w:lang w:eastAsia="zh-CN"/>
              </w:rPr>
            </w:r>
            <w:r/>
          </w:p>
        </w:tc>
        <w:tc>
          <w:tcPr>
            <w:tcW w:w="1064"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1433"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不接受进口产品</w:t>
            </w:r>
            <w:r>
              <w:rPr>
                <w:rFonts w:hint="eastAsia" w:ascii="宋体" w:hAnsi="宋体" w:cs="宋体"/>
                <w:color w:val="000000"/>
                <w:sz w:val="24"/>
                <w:highlight w:val="none"/>
              </w:rPr>
            </w:r>
            <w:r/>
          </w:p>
        </w:tc>
      </w:tr>
    </w:tbl>
    <w:p>
      <w:pPr>
        <w:pStyle w:val="1074"/>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4"/>
        <w:ind w:firstLine="480"/>
        <w:jc w:val="lef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1.</w:t>
      </w:r>
      <w:r>
        <w:rPr>
          <w:rFonts w:hint="eastAsia" w:ascii="宋体" w:hAnsi="宋体" w:cs="宋体"/>
          <w:bCs/>
          <w:color w:val="000000"/>
          <w:sz w:val="24"/>
          <w:highlight w:val="none"/>
          <w:lang w:bidi="ar"/>
        </w:rPr>
        <w:t xml:space="preserve">台面、清洗槽、功能背板、干燥台材质要求：采用高分子复合材料（ABS+亚克力PMMA）整体热合吸塑成型，原板材厚度≥5MM，设备整体高度≥1800mm。无锋角，无接缝。</w:t>
      </w:r>
      <w:r>
        <w:rPr>
          <w:rFonts w:hint="eastAsia" w:ascii="宋体" w:hAnsi="宋体" w:cs="宋体"/>
          <w:bCs/>
          <w:color w:val="000000"/>
          <w:sz w:val="24"/>
          <w:highlight w:val="none"/>
          <w:lang w:bidi="ar"/>
        </w:rPr>
      </w:r>
      <w:r/>
    </w:p>
    <w:p>
      <w:pPr>
        <w:pStyle w:val="1074"/>
        <w:ind w:firstLine="480"/>
        <w:jc w:val="lef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2.</w:t>
      </w:r>
      <w:r>
        <w:rPr>
          <w:rFonts w:hint="eastAsia" w:ascii="宋体" w:hAnsi="宋体" w:cs="宋体"/>
          <w:bCs/>
          <w:color w:val="000000"/>
          <w:sz w:val="24"/>
          <w:highlight w:val="none"/>
          <w:lang w:bidi="ar"/>
        </w:rPr>
        <w:t xml:space="preserve">台面、清洗槽、功能背板、干燥台</w:t>
      </w:r>
      <w:r>
        <w:rPr>
          <w:rFonts w:hint="eastAsia" w:ascii="宋体" w:hAnsi="宋体" w:cs="宋体"/>
          <w:bCs/>
          <w:color w:val="000000"/>
          <w:sz w:val="24"/>
          <w:highlight w:val="none"/>
          <w:lang w:val="en-US" w:eastAsia="zh-CN" w:bidi="ar"/>
        </w:rPr>
        <w:t xml:space="preserve">的</w:t>
      </w:r>
      <w:r>
        <w:rPr>
          <w:rFonts w:hint="eastAsia" w:ascii="宋体" w:hAnsi="宋体" w:cs="宋体"/>
          <w:bCs/>
          <w:color w:val="000000"/>
          <w:sz w:val="24"/>
          <w:highlight w:val="none"/>
          <w:lang w:bidi="ar"/>
        </w:rPr>
        <w:t xml:space="preserve">复合板材</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不得含有对人体有害物质</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提供第三方</w:t>
      </w:r>
      <w:r>
        <w:rPr>
          <w:rFonts w:hint="eastAsia" w:ascii="宋体" w:hAnsi="宋体" w:cs="宋体"/>
          <w:bCs/>
          <w:color w:val="000000"/>
          <w:sz w:val="24"/>
          <w:highlight w:val="none"/>
          <w:lang w:eastAsia="zh-CN" w:bidi="ar"/>
        </w:rPr>
        <w:t xml:space="preserve">甲</w:t>
      </w:r>
      <w:r>
        <w:rPr>
          <w:rFonts w:hint="eastAsia" w:ascii="宋体" w:hAnsi="宋体" w:cs="宋体"/>
          <w:bCs/>
          <w:color w:val="000000"/>
          <w:sz w:val="24"/>
          <w:highlight w:val="none"/>
          <w:lang w:bidi="ar"/>
        </w:rPr>
        <w:t xml:space="preserve">醛检测报告）</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复合板材板材按照《抑菌和抗菌效果评价方法》WS/T650-2019检测要求。（提供</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bidi="ar"/>
        </w:rPr>
      </w:r>
      <w:r/>
    </w:p>
    <w:p>
      <w:pPr>
        <w:pStyle w:val="1074"/>
        <w:ind w:firstLine="480"/>
        <w:jc w:val="lef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3.</w:t>
      </w:r>
      <w:r>
        <w:rPr>
          <w:rFonts w:hint="eastAsia" w:ascii="宋体" w:hAnsi="宋体" w:cs="宋体"/>
          <w:bCs/>
          <w:color w:val="000000"/>
          <w:sz w:val="24"/>
          <w:highlight w:val="none"/>
          <w:lang w:bidi="ar"/>
        </w:rPr>
        <w:t xml:space="preserve">台面、清洗槽、功能背板、干燥台复合板材进行耐腐蚀性测试：在1%NaOH溶液中浸泡72小时无可视变化，在5% H2SO4溶液中浸泡72小时无可视变化。（需提供佐证材料））</w:t>
      </w:r>
      <w:r>
        <w:rPr>
          <w:rFonts w:hint="eastAsia" w:ascii="宋体" w:hAnsi="宋体" w:cs="宋体"/>
          <w:bCs/>
          <w:color w:val="000000"/>
          <w:sz w:val="24"/>
          <w:highlight w:val="none"/>
          <w:lang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4.清洗槽形状要求：清洗槽采用“前后高中间低”的大斜角防泛水设计，槽面向内侧倾斜3-5度，后端向内侧倾斜3-5度，并且前端设计有倒角斜度。清洗槽内侧底部设计凸起。</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5.干燥台形状要求：并且在干燥台并且前端设计有倒角斜度，两端设计挡水台；内镜清洗工作站的干燥台面承重要求：亚克力材质≥100KG（提供</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6.功能背板形状材质要求：背板采用与清洗槽相同的材质，非碳钢或不锈钢烤漆材质，整体一次成型，有储物柜，可储物；并且吊柜底部安装设备LED照明光源。</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7.浸泡槽盖材质要求采用透明亚克力板材一次成型，并配有2个手柄，板材厚度≥4mm，防止变形、破裂。可以清晰看到浸泡清洗的状况，预防消毒液气体的外泄。</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8.双槽清洗池规格尺寸要求：长1200mm×宽760mm（±10mm），内径长500mm×宽450mm×深200mm（±10mm）；数量4套</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9.干燥台规格尺寸要求：长1500mm×宽760mm（±10mm）；数量2套 </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10.柜体采用分段式，柜体底部离地高度≥150mm。支架材质要求选用全优质不锈钢材质焊接框架，框架厚度≥1.2mm，高≥800mm。柜门采用钢化玻璃，柜门采用上挡板和下柜门分体设计，非整体柜门设计；柜门铰链采用阻尼铰链，实现柜门自动闭合到位。柜体底板采用PVC塑钢板材质。</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11.管道自身消毒功能：可对终末漂洗用水管道定期消毒，消毒对象包括0.2μm过滤滤芯、终末漂洗水枪及水枪管道、水龙头及灌流系统管道，保障内镜清洗用水水质符合WS507-2016中菌落数≤10cuf/100mL的要求，保障内镜洗消效果。管道自身消毒结束后可自动冲洗内部管道，防止消毒液残留（提供佐证材料）。数量：2套</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12.水/气“一次性”、酶液/消毒液全自动循环灌注器要求：数量各4套。各流程功能均有微电脑控制，隐藏式设计，工作面板采用一体式面板，禁止扣洞式安装，防止控制屏安装缝隙进水带来的安全隐患；全触摸控制按键，非按键膜按键，控制每槽实际操作流程，均按照屏幕提示进行清洗，并具备对多条内镜分别定时、倒计时功能。</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13.酶液/消毒液全自动循环灌注器主机要求：数量各4套。采用≥7寸液晶彩色全触摸操作显示屏，内嵌式安装于储物柜上，用于显示、操作、控制自动灌流器运行，禁止控制屏随吊柜门板上下移动；可实现控制每槽实际操作流程，均按照屏幕提示进行清洗，并具备对多条内镜分别定时、倒计时功能。控制器可控制灌流时间，调节灌流清洗时间时可通过控制屏按键增加、减少。（提供操作佐证材料）</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14.酶液/消毒液倒计时装置要求：具备独立记录灌注剩余时间，时间显示1秒-99分钟。</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15.快速接头材质及功能要求：整套快速接头采用快速接头的底座和插头部分采用耐酸碱的高分子塑料，快速插头部分采用双手指按式（双手指按紧向后取出，向前接上）底座设计位置位于洗消槽后方，只需单手操作就可完成。</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16.供水管路要求：所有给水管采用优质PP-R，符合GB/T 11547-2008中PP-R技术要求；采用同质热熔连接技术，管材、管件完全熔为一体。管材和管件高柔韧度：在生产、施工、使用过程中对环境无任何污染。（提供产品实物照片及第三方符合耐腐蚀检测报告）</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17.排水管路要求：优质PVC-U排水管材和管件，符合GB/T 11547-2008要求；采用同质化学连接技术，管材、管件完全熔为一体。在生产、施工、使用过程中对环境无任何污染。（提供产品实物照片及第三方耐腐蚀检测报告）</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18.终末漂洗水质要求：终末漂洗用水水质符合WS507-2016 《软式内镜清洗消毒技术规范》及医药行业标准YY0992-2023《内镜清洗工作站》要求，终末漂洗槽水龙头、水枪、灌流器出水水质细菌总数≤10CFU/100mL的要求细菌内毒素不大于0.25EU/mL的要求（</w:t>
      </w:r>
      <w:r>
        <w:rPr>
          <w:rFonts w:hint="eastAsia" w:ascii="宋体" w:hAnsi="宋体" w:cs="宋体"/>
          <w:bCs/>
          <w:color w:val="000000"/>
          <w:sz w:val="24"/>
          <w:highlight w:val="none"/>
          <w:lang w:val="en-US" w:eastAsia="zh-CN" w:bidi="ar"/>
        </w:rPr>
        <w:t xml:space="preserve">提供国家药品监督管理局提供的检验报告及检测中心出具的用户验证的终末漂洗水水质合格检测报告</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19.排污型水质处理器：具备，数量2套。安装于设备总水源处，过滤水源中的杂质、水锈等异物，提供用水质量；外罩采用不锈钢材料，具备排污功能；无需更换滤芯。</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20.自动/手动双控水源控制：具备，数量2套。不仅可以实现总水源的自动关闭，同时又可以实现在断电情况下手动打开总水源，工作压力：0~0.8MPa</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21.不锈钢水龙头：数量8个。全优质SUS304不锈钢材质水龙头，选用陶瓷阀芯和出水嘴的起泡器过滤件，出水口设有蓄水与花洒两种模式，过滤网孔径≤250µm(≥60目)，360度旋转式设计，流量≥0.2L/s，多层防腐防锈处理，镀层按GB/T 6461-2002经过24h酸性盐雾试验后，达到GB/T 6461-2002标准中10级的要求，可承受强酸强碱环境的使用；全304#优质高压编织供水软管及管件（提供产品的</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22.ABS复合材料落水器，密封圈采用橡胶材质。</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23.医用洁净气源：数量2个。医用级洁净气源，集成无油空气压缩机、气体处理及气体过滤功能于一身，为设备提供高质量洁净气源。符合GB50751-2012《医用气体工程技术规范》及WS507-2016《软式内镜清洗消毒技术规范》要求。过滤精度≤0.01微米，可置于在干燥台下，噪音≤60dB，容积流量≥150L/min；具备自动排水功能。</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24.中心气体处理器要求:数量2个。无源型，分离空气中的油污，水分，具有自动调节气压和自动过滤水分的功能，并另外设有注气压力调节器，可调范围0.05～0.85MPa,专为内镜腔道提供清洁而又安全的气压。无耗材、免维护、免清洗。</w:t>
      </w:r>
      <w:r>
        <w:rPr>
          <w:rFonts w:hint="eastAsia" w:ascii="宋体" w:hAnsi="宋体" w:eastAsia="宋体" w:cs="宋体"/>
          <w:bCs/>
          <w:color w:val="000000"/>
          <w:sz w:val="24"/>
          <w:highlight w:val="none"/>
          <w:lang w:val="en-US" w:eastAsia="zh-CN" w:bidi="ar"/>
        </w:rPr>
        <w:t xml:space="preserve">（提</w:t>
      </w:r>
      <w:r>
        <w:rPr>
          <w:rFonts w:hint="eastAsia" w:ascii="宋体" w:hAnsi="宋体" w:cs="宋体"/>
          <w:bCs/>
          <w:color w:val="000000"/>
          <w:sz w:val="24"/>
          <w:highlight w:val="none"/>
          <w:lang w:val="en-US" w:eastAsia="zh-CN" w:bidi="ar"/>
        </w:rPr>
        <w:t xml:space="preserve">供产品合格证及检验报告佐证材料）</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25.空气过滤器：数量2个。对工作站高压气枪及内镜管腔注气提供符合规范要求的洁净空气，空气过滤器过滤精度≤0.2μm，可更换滤芯。</w:t>
      </w:r>
      <w:r>
        <w:rPr>
          <w:rFonts w:hint="eastAsia" w:ascii="宋体" w:hAnsi="宋体" w:eastAsia="宋体" w:cs="宋体"/>
          <w:bCs/>
          <w:color w:val="000000"/>
          <w:sz w:val="24"/>
          <w:highlight w:val="none"/>
          <w:lang w:val="en-US" w:eastAsia="zh-CN" w:bidi="ar"/>
        </w:rPr>
        <w:t xml:space="preserve">（提供产品合格证）</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26.高压水枪、气枪材质及功能要求：枪体采用SUS304不锈钢，清洗喷嘴与枪体之间可以任意更换；耐受压力0-0.7MPa。水枪配备八个、气枪配备二个螺旋式清洗喷嘴。</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27.手套盒、纱布盒：数量6个</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28.酒精灌注系统要求：数量2套。酒精自动灌注内镜管腔，自动注气辅助干燥，方便快捷，采用蠕动泵定量控制，进酒精速度为5ml/s（±1ml/s）。应符合医药行业标准YY0992-2016《内镜清洗工作站》要求：酒精不足提示报警，并在控制屏上显示“酒精不足”。（提供控制屏提示“酒精不足”图片证明及</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29.全自动内镜测漏器要求：数量2套。内镜专用气泵，多种测漏压力可选，满足不同类型、品牌内镜测漏压力要求，测漏完成后自动排气，隐藏式后置设计，一键启动。                                                                </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30.自动供酶系统：数量2套。采用蠕动泵自动添加清洗酶，配带液位检测功能，一键启动。供酶时间可调，应符合行业标准YY0992-2016《内镜清洗工作站》要求：酶液不足提示报警，并在控制屏上显示“清洗液不足”。（提供控制屏提示“清洗液不足”图片证明及</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31.强排风系统：数量2套。位于消毒槽后方，隐藏式设计，风量达≥190立方每小时，及时抽走有害气体产生的气溶胶。</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val="en-US" w:eastAsia="zh-CN" w:bidi="ar"/>
        </w:rPr>
        <w:t xml:space="preserve">32.内镜清洗工作站消毒效果检测菌落总数≤20cfu/件，不得检出致病性微生物（提供</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▲33.配置纯水机要求：产水量≥300L/H，产水水质满足清洗用纯化水应符合电导率≤15us/cm(25℃)的规定（提供</w:t>
      </w:r>
      <w:r>
        <w:rPr>
          <w:rFonts w:hint="eastAsia" w:ascii="宋体" w:hAnsi="宋体" w:cs="宋体"/>
          <w:bCs/>
          <w:color w:val="000000"/>
          <w:sz w:val="24"/>
          <w:highlight w:val="none"/>
          <w:lang w:eastAsia="zh-CN" w:bidi="ar"/>
        </w:rPr>
        <w:t xml:space="preserve">第三方检测机构</w:t>
      </w:r>
      <w:r>
        <w:rPr>
          <w:rFonts w:hint="eastAsia" w:ascii="宋体" w:hAnsi="宋体" w:cs="宋体"/>
          <w:bCs/>
          <w:color w:val="000000"/>
          <w:sz w:val="24"/>
          <w:highlight w:val="none"/>
          <w:lang w:bidi="ar"/>
        </w:rPr>
        <w:t xml:space="preserve">出具的检测报告）</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系统采用全自动控制</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采用“预处理+单级反渗透+纯水恒压供水”工艺。采用纯水专用UPVC管道，主机采</w:t>
      </w:r>
      <w:r>
        <w:rPr>
          <w:rFonts w:hint="eastAsia" w:ascii="宋体" w:hAnsi="宋体" w:cs="宋体"/>
          <w:bCs/>
          <w:color w:val="000000"/>
          <w:sz w:val="24"/>
          <w:highlight w:val="none"/>
          <w:lang w:val="en-US" w:eastAsia="zh-CN" w:bidi="ar"/>
        </w:rPr>
        <w:t xml:space="preserve">用304不锈钢一体化机架，集成预处理、反渗透及供水系统。</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34.配置内镜储存柜要求：内胆采用ABS+亚克力PMMA特种复合性材料及特种工艺制成；可悬挂≥6条内镜；用户可根据需求分别设置通风、杀菌时间，并能保存设置参数；可实现对风机、紫外线杀菌灯、照明灯的分别控制；循环方式采用两个风机。数量2台。</w:t>
      </w:r>
      <w:r>
        <w:rPr>
          <w:rFonts w:hint="eastAsia" w:ascii="宋体" w:hAnsi="宋体" w:cs="宋体"/>
          <w:bCs/>
          <w:color w:val="000000"/>
          <w:sz w:val="24"/>
          <w:highlight w:val="none"/>
          <w:lang w:val="en-US" w:eastAsia="zh-CN" w:bidi="ar"/>
        </w:rPr>
      </w:r>
      <w:r/>
    </w:p>
    <w:p>
      <w:pPr>
        <w:pStyle w:val="1074"/>
        <w:ind w:firstLine="480"/>
        <w:jc w:val="left"/>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val="en-US" w:eastAsia="zh-CN" w:bidi="ar"/>
        </w:rPr>
        <w:t xml:space="preserve">35.配置两层内镜转运车要求：数量2个。车体使用全钢质结构，表面喷塑处理，盘式装载，四方向旋转脚轮，带脚轮锁，承载容器可单独进行消毒。</w:t>
      </w:r>
      <w:r>
        <w:rPr>
          <w:rFonts w:hint="eastAsia" w:ascii="宋体" w:hAnsi="宋体" w:cs="宋体"/>
          <w:bCs/>
          <w:color w:val="000000"/>
          <w:sz w:val="24"/>
          <w:highlight w:val="none"/>
          <w:lang w:bidi="ar"/>
        </w:rPr>
      </w:r>
      <w:r/>
    </w:p>
    <w:p>
      <w:pPr>
        <w:pStyle w:val="1074"/>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t xml:space="preserve">0天内完成合同范围内所有设备的供货、安装调试。</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4"/>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w:t>
      </w:r>
      <w:r>
        <w:rPr>
          <w:rFonts w:hint="eastAsia" w:ascii="宋体" w:hAnsi="宋体" w:cs="宋体"/>
          <w:color w:val="000000"/>
          <w:sz w:val="24"/>
          <w:highlight w:val="none"/>
          <w:lang w:bidi="ar"/>
        </w:rPr>
        <w:t xml:space="preserve">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2</w:t>
      </w:r>
      <w:r>
        <w:rPr>
          <w:rFonts w:hint="eastAsia" w:ascii="宋体" w:hAnsi="宋体" w:cs="宋体"/>
          <w:b/>
          <w:color w:val="000000"/>
          <w:sz w:val="24"/>
          <w:highlight w:val="none"/>
          <w:lang w:bidi="ar"/>
        </w:rPr>
        <w:t xml:space="preserve">年</w:t>
      </w:r>
      <w:r>
        <w:rPr>
          <w:rFonts w:hint="eastAsia" w:ascii="宋体" w:hAnsi="宋体" w:eastAsia="宋体" w:cs="宋体"/>
          <w:color w:val="000000"/>
          <w:sz w:val="24"/>
          <w:highlight w:val="none"/>
          <w:lang w:bidi="ar"/>
        </w:rPr>
        <w:t xml:space="preserve">（自</w:t>
      </w:r>
      <w:r>
        <w:rPr>
          <w:rFonts w:hint="eastAsia" w:ascii="宋体" w:hAnsi="宋体" w:cs="宋体"/>
          <w:color w:val="000000"/>
          <w:sz w:val="24"/>
          <w:highlight w:val="none"/>
          <w:lang w:bidi="ar"/>
        </w:rPr>
        <w:t xml:space="preserve">验收报告签字确认日起，开始进入质保期）。中标单</w:t>
      </w:r>
      <w:r>
        <w:rPr>
          <w:rFonts w:hint="eastAsia" w:ascii="宋体" w:hAnsi="宋体" w:cs="宋体"/>
          <w:color w:val="000000"/>
          <w:sz w:val="24"/>
          <w:highlight w:val="none"/>
          <w:lang w:bidi="ar"/>
        </w:rPr>
        <w:t xml:space="preserve">位对质保期内所发生的设备维护、维修、更换等一切费用负责。提供设备关键配件清单（包括但不限于名称、型号、参考价格等）</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8"/>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合同签订后，采购人支付30%款项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安装调试验收合格，临床科室开具领用单，开具发票入库后壹个月内付，采购人支付中标人至合同款项的90%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余款在验收合格一年后一次性付清(无息)。</w:t>
      </w:r>
      <w:r>
        <w:rPr>
          <w:rFonts w:ascii="宋体" w:hAnsi="宋体"/>
          <w:color w:val="000000"/>
          <w:sz w:val="24"/>
          <w:szCs w:val="24"/>
          <w:highlight w:val="none"/>
        </w:rPr>
      </w:r>
      <w:r/>
    </w:p>
    <w:p>
      <w:pPr>
        <w:pStyle w:val="1074"/>
        <w:spacing w:line="440" w:lineRule="exact"/>
        <w:rPr>
          <w:rFonts w:ascii="宋体" w:hAnsi="宋体"/>
          <w:b/>
          <w:color w:val="000000"/>
          <w:highlight w:val="none"/>
        </w:rPr>
      </w:pPr>
      <w:r>
        <w:rPr>
          <w:rFonts w:ascii="宋体" w:hAnsi="宋体"/>
          <w:b/>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99301425"/>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5"/>
        <w:jc w:val="center"/>
        <w:tabs>
          <w:tab w:val="left" w:pos="567" w:leader="none"/>
        </w:tabs>
        <w:rPr>
          <w:rFonts w:hint="eastAsia" w:cs="宋体"/>
          <w:b/>
          <w:bCs/>
          <w:color w:val="000000"/>
          <w:spacing w:val="-20"/>
          <w:sz w:val="48"/>
          <w:szCs w:val="48"/>
          <w:highlight w:val="none"/>
        </w:rPr>
      </w:pPr>
      <w:r/>
      <w:bookmarkStart w:id="817" w:name="_Toc3995"/>
      <w:r>
        <w:rPr>
          <w:rFonts w:hint="eastAsia" w:cs="宋体"/>
          <w:b/>
          <w:bCs/>
          <w:color w:val="000000"/>
          <w:spacing w:val="-20"/>
          <w:sz w:val="48"/>
          <w:szCs w:val="48"/>
          <w:highlight w:val="none"/>
        </w:rPr>
      </w:r>
      <w:r/>
    </w:p>
    <w:p>
      <w:pPr>
        <w:pStyle w:val="1113"/>
        <w:spacing w:line="360" w:lineRule="auto"/>
        <w:rPr>
          <w:rFonts w:hAnsi="宋体" w:cs="宋体"/>
          <w:color w:val="000000"/>
          <w:sz w:val="24"/>
          <w:szCs w:val="24"/>
          <w:highlight w:val="none"/>
        </w:rPr>
      </w:pPr>
      <w:r/>
      <w:bookmarkEnd w:id="817"/>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3"/>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8"/>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4"/>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4"/>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4"/>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4"/>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4"/>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4"/>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4"/>
              <w:jc w:val="center"/>
              <w:spacing w:line="360" w:lineRule="exact"/>
              <w:rPr>
                <w:rFonts w:hint="eastAsia" w:ascii="宋体" w:hAnsi="宋体"/>
                <w:b/>
                <w:color w:val="000000"/>
                <w:sz w:val="24"/>
                <w:highlight w:val="none"/>
              </w:rPr>
            </w:pPr>
            <w:r>
              <w:rPr>
                <w:rFonts w:hint="eastAsia" w:ascii="宋体" w:hAnsi="宋体" w:cs="宋体"/>
                <w:color w:val="000000"/>
                <w:sz w:val="24"/>
                <w:highlight w:val="none"/>
                <w:lang w:bidi="ar"/>
              </w:rPr>
              <w:t xml:space="preserve">心超</w:t>
            </w:r>
            <w:r>
              <w:rPr>
                <w:rFonts w:hint="eastAsia" w:ascii="宋体" w:hAnsi="宋体"/>
                <w:b/>
                <w:color w:val="000000"/>
                <w:sz w:val="24"/>
                <w:highlight w:val="none"/>
              </w:rPr>
            </w:r>
            <w:r/>
          </w:p>
        </w:tc>
        <w:tc>
          <w:tcPr>
            <w:tcW w:w="595" w:type="dxa"/>
            <w:vAlign w:val="center"/>
            <w:textDirection w:val="lrTb"/>
            <w:noWrap w:val="false"/>
          </w:tcPr>
          <w:p>
            <w:pPr>
              <w:pStyle w:val="107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4"/>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4"/>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4"/>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3"/>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4"/>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4"/>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3"/>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8"/>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olor w:val="000000"/>
          <w:sz w:val="24"/>
          <w:szCs w:val="24"/>
          <w:highlight w:val="none"/>
        </w:rPr>
        <w:t xml:space="preserve">合同签订后，采购人支付30%款项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安装调试验收合格，临床科室开具领用单，开具发票入库后壹个月内付，采购人支付中标人至合同款项的90%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余款在验收合格一年后一次性付清(无息)。</w:t>
      </w:r>
      <w:r>
        <w:rPr>
          <w:rFonts w:hint="eastAsia" w:ascii="宋体" w:hAnsi="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80"/>
        <w:spacing w:line="360" w:lineRule="auto"/>
        <w:rPr>
          <w:rFonts w:ascii="宋体" w:hAnsi="宋体"/>
          <w:color w:val="000000"/>
          <w:sz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ascii="宋体" w:hAnsi="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4"/>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4"/>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4"/>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8" w:name="_Toc99301426"/>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4"/>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4"/>
        <w:rPr>
          <w:rFonts w:ascii="宋体" w:hAnsi="宋体"/>
          <w:b/>
          <w:color w:val="000000"/>
          <w:spacing w:val="20"/>
          <w:szCs w:val="21"/>
          <w:highlight w:val="none"/>
        </w:rPr>
      </w:pPr>
      <w:r>
        <w:rPr>
          <w:rFonts w:ascii="宋体" w:hAnsi="宋体"/>
          <w:b/>
          <w:color w:val="000000"/>
          <w:spacing w:val="20"/>
          <w:szCs w:val="21"/>
          <w:highlight w:val="none"/>
        </w:rPr>
      </w:r>
      <w:r/>
    </w:p>
    <w:p>
      <w:pPr>
        <w:pStyle w:val="1074"/>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4"/>
        <w:jc w:val="center"/>
        <w:rPr>
          <w:rFonts w:ascii="宋体" w:hAnsi="宋体"/>
          <w:color w:val="000000"/>
          <w:szCs w:val="21"/>
          <w:highlight w:val="none"/>
        </w:rPr>
      </w:pPr>
      <w:r>
        <w:rPr>
          <w:rFonts w:ascii="宋体" w:hAnsi="宋体"/>
          <w:color w:val="000000"/>
          <w:szCs w:val="21"/>
          <w:highlight w:val="none"/>
        </w:rPr>
      </w:r>
      <w:r/>
    </w:p>
    <w:p>
      <w:pPr>
        <w:pStyle w:val="107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jc w:val="center"/>
        <w:rPr>
          <w:rFonts w:ascii="宋体" w:hAnsi="宋体"/>
          <w:b/>
          <w:color w:val="000000"/>
          <w:sz w:val="32"/>
          <w:szCs w:val="32"/>
          <w:highlight w:val="none"/>
        </w:rPr>
      </w:pPr>
      <w:r>
        <w:rPr>
          <w:rFonts w:ascii="宋体" w:hAnsi="宋体"/>
          <w:b/>
          <w:color w:val="000000"/>
          <w:sz w:val="32"/>
          <w:szCs w:val="32"/>
          <w:highlight w:val="none"/>
        </w:rPr>
      </w:r>
      <w:r/>
    </w:p>
    <w:p>
      <w:pPr>
        <w:pStyle w:val="107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4"/>
        <w:rPr>
          <w:rFonts w:ascii="宋体" w:hAnsi="宋体"/>
          <w:b/>
          <w:color w:val="000000"/>
          <w:highlight w:val="none"/>
        </w:rPr>
      </w:pPr>
      <w:r>
        <w:rPr>
          <w:rFonts w:ascii="宋体" w:hAnsi="宋体"/>
          <w:b/>
          <w:color w:val="000000"/>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8"/>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4"/>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9" w:name="_Toc226337252"/>
      <w:r/>
      <w:bookmarkStart w:id="820" w:name="_Toc150480794"/>
      <w:r/>
      <w:bookmarkStart w:id="821" w:name="_Toc195842921"/>
      <w:r/>
      <w:bookmarkStart w:id="822" w:name="_Toc226965746"/>
      <w:r/>
      <w:bookmarkStart w:id="823" w:name="_Toc520356217"/>
      <w:r/>
      <w:bookmarkStart w:id="824" w:name="_Toc226309800"/>
      <w:r/>
      <w:bookmarkStart w:id="825" w:name="_Toc150774761"/>
      <w:r/>
      <w:bookmarkStart w:id="826" w:name="_Ref467988698"/>
      <w:r/>
      <w:bookmarkStart w:id="827" w:name="_Toc226965829"/>
      <w:r/>
      <w:bookmarkStart w:id="828" w:name="_Toc142311058"/>
      <w:r/>
      <w:bookmarkStart w:id="829" w:name="_Toc480942349"/>
      <w:r/>
      <w:bookmarkStart w:id="830" w:name="_Toc127151556"/>
      <w:r>
        <w:rPr>
          <w:rFonts w:hint="eastAsia" w:ascii="宋体" w:hAnsi="宋体"/>
          <w:b/>
          <w:color w:val="000000"/>
          <w:sz w:val="32"/>
          <w:szCs w:val="32"/>
          <w:highlight w:val="none"/>
        </w:rPr>
      </w:r>
      <w:r/>
    </w:p>
    <w:p>
      <w:pPr>
        <w:pStyle w:val="107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4"/>
        <w:jc w:val="left"/>
        <w:widowControl/>
        <w:rPr>
          <w:rFonts w:hint="eastAsia" w:ascii="宋体" w:hAnsi="宋体"/>
          <w:b/>
          <w:color w:val="000000"/>
          <w:sz w:val="24"/>
          <w:highlight w:val="none"/>
        </w:rPr>
      </w:pPr>
      <w:r/>
      <w:bookmarkStart w:id="831" w:name="_Hlt520356243"/>
      <w:r/>
      <w:bookmarkEnd w:id="831"/>
      <w:r/>
      <w:bookmarkStart w:id="832" w:name="_Hlt520355938"/>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6"/>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6"/>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4"/>
        <w:ind w:firstLine="640"/>
        <w:rPr>
          <w:rFonts w:ascii="宋体" w:hAnsi="宋体"/>
          <w:color w:val="000000"/>
          <w:highlight w:val="none"/>
        </w:rPr>
      </w:pPr>
      <w:r>
        <w:rPr>
          <w:rFonts w:ascii="宋体" w:hAnsi="宋体"/>
          <w:color w:val="000000"/>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33" w:name="_Hlt520274393"/>
      <w:r/>
      <w:bookmarkEnd w:id="833"/>
      <w:r/>
      <w:bookmarkStart w:id="834" w:name="_Hlt520343000"/>
      <w:r/>
      <w:bookmarkEnd w:id="834"/>
      <w:r/>
      <w:bookmarkStart w:id="835" w:name="_Hlt520350918"/>
      <w:r/>
      <w:bookmarkEnd w:id="835"/>
      <w:r/>
      <w:bookmarkStart w:id="836" w:name="_Hlt520274065"/>
      <w:r/>
      <w:bookmarkEnd w:id="836"/>
      <w:r/>
      <w:bookmarkStart w:id="837" w:name="_Hlt520343392"/>
      <w:r/>
      <w:bookmarkEnd w:id="837"/>
      <w:r/>
      <w:bookmarkStart w:id="838" w:name="_Hlt520273711"/>
      <w:r/>
      <w:bookmarkEnd w:id="838"/>
      <w:r/>
      <w:bookmarkStart w:id="839" w:name="_Hlt520274407"/>
      <w:r/>
      <w:bookmarkEnd w:id="839"/>
      <w:r/>
      <w:bookmarkStart w:id="840" w:name="_Hlt520271212"/>
      <w:r/>
      <w:bookmarkEnd w:id="840"/>
      <w:r/>
      <w:bookmarkStart w:id="841" w:name="_Hlt520274121"/>
      <w:r/>
      <w:bookmarkEnd w:id="841"/>
      <w:r/>
      <w:bookmarkStart w:id="842" w:name="_Hlt520355504"/>
      <w:r/>
      <w:bookmarkEnd w:id="842"/>
      <w:r/>
      <w:bookmarkStart w:id="843" w:name="_Toc195842922"/>
      <w:r/>
      <w:bookmarkStart w:id="844" w:name="_Toc226337253"/>
      <w:r/>
      <w:bookmarkStart w:id="845" w:name="_Toc142311059"/>
      <w:r/>
      <w:bookmarkStart w:id="846" w:name="_Toc127151557"/>
      <w:r/>
      <w:bookmarkStart w:id="847" w:name="_Toc226309801"/>
      <w:r/>
      <w:bookmarkStart w:id="848" w:name="_Toc150480795"/>
      <w:r/>
      <w:bookmarkStart w:id="849" w:name="_Toc520356218"/>
      <w:r/>
      <w:bookmarkStart w:id="850" w:name="_Toc226965830"/>
      <w:r/>
      <w:bookmarkStart w:id="851" w:name="_Toc150774762"/>
      <w:r/>
      <w:bookmarkStart w:id="852" w:name="_Toc305158899"/>
      <w:r/>
      <w:bookmarkStart w:id="853" w:name="_Toc305158825"/>
      <w:r/>
      <w:bookmarkStart w:id="854" w:name="_Ref467988705"/>
      <w:r/>
      <w:bookmarkStart w:id="855" w:name="_Toc226965747"/>
      <w:r/>
      <w:bookmarkStart w:id="856" w:name="_Toc265228395"/>
      <w:r/>
      <w:bookmarkStart w:id="857" w:name="_Toc480942350"/>
      <w:r/>
      <w:bookmarkStart w:id="858" w:name="_Toc26496924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b/>
          <w:color w:val="000000"/>
          <w:sz w:val="36"/>
          <w:szCs w:val="36"/>
          <w:highlight w:val="none"/>
        </w:rPr>
      </w:pPr>
      <w:r/>
      <w:bookmarkStart w:id="859" w:name="_Toc164608672"/>
      <w:r/>
      <w:bookmarkStart w:id="860" w:name="_Toc265228396"/>
      <w:r/>
      <w:bookmarkStart w:id="861" w:name="_Toc195842923"/>
      <w:r/>
      <w:bookmarkStart w:id="862" w:name="_Toc305158900"/>
      <w:r/>
      <w:bookmarkStart w:id="863" w:name="_Toc226965831"/>
      <w:r/>
      <w:bookmarkStart w:id="864" w:name="_Toc226337254"/>
      <w:r/>
      <w:bookmarkStart w:id="865" w:name="_Toc164608827"/>
      <w:r/>
      <w:bookmarkStart w:id="866" w:name="_Toc305158826"/>
      <w:r/>
      <w:bookmarkStart w:id="867" w:name="_Toc226965748"/>
      <w:r/>
      <w:bookmarkStart w:id="868" w:name="_Toc226309802"/>
      <w:r/>
      <w:bookmarkStart w:id="869" w:name="_Toc264969248"/>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107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4"/>
        <w:jc w:val="left"/>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70" w:name="_Toc127151558"/>
      <w:r/>
      <w:bookmarkStart w:id="871" w:name="_Toc150480796"/>
      <w:r/>
      <w:bookmarkStart w:id="872" w:name="_Toc305158827"/>
      <w:r/>
      <w:bookmarkStart w:id="873" w:name="_Toc226309803"/>
      <w:r/>
      <w:bookmarkStart w:id="874" w:name="_Toc305158901"/>
      <w:r/>
      <w:bookmarkStart w:id="875" w:name="_Toc142311060"/>
      <w:r/>
      <w:bookmarkStart w:id="876" w:name="_Toc226965749"/>
      <w:r/>
      <w:bookmarkStart w:id="877" w:name="_Toc226337255"/>
      <w:r/>
      <w:bookmarkStart w:id="878" w:name="_Toc226965832"/>
      <w:r/>
      <w:bookmarkStart w:id="879" w:name="_Toc265228397"/>
      <w:r/>
      <w:bookmarkStart w:id="880" w:name="_Toc150774763"/>
      <w:r/>
      <w:bookmarkStart w:id="881" w:name="_Toc264969249"/>
      <w:r/>
      <w:bookmarkStart w:id="882"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4"/>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4"/>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4"/>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3" w:name="_Toc305158830"/>
      <w:r/>
      <w:bookmarkStart w:id="884" w:name="_Toc226965752"/>
      <w:r/>
      <w:bookmarkStart w:id="885" w:name="_Toc305158904"/>
      <w:r/>
      <w:bookmarkStart w:id="886" w:name="_Toc265228400"/>
      <w:r/>
      <w:bookmarkStart w:id="887" w:name="_Toc142311062"/>
      <w:r/>
      <w:bookmarkStart w:id="888" w:name="_Toc226337258"/>
      <w:r/>
      <w:bookmarkStart w:id="889" w:name="_Toc127151562"/>
      <w:r/>
      <w:bookmarkStart w:id="890" w:name="_Toc226309806"/>
      <w:r/>
      <w:bookmarkStart w:id="891" w:name="_Toc150480798"/>
      <w:r/>
      <w:bookmarkStart w:id="892" w:name="_Toc226965835"/>
      <w:r/>
      <w:bookmarkStart w:id="893" w:name="_Toc150774765"/>
      <w:r/>
      <w:bookmarkStart w:id="894" w:name="_Toc195842927"/>
      <w:r/>
      <w:bookmarkStart w:id="895" w:name="_Toc264969252"/>
      <w:r/>
      <w:bookmarkStart w:id="896" w:name="_Toc265228399"/>
      <w:r/>
      <w:bookmarkStart w:id="897" w:name="_Toc142311061"/>
      <w:r/>
      <w:bookmarkStart w:id="898" w:name="_Toc150480797"/>
      <w:r/>
      <w:bookmarkStart w:id="899" w:name="_Toc127151561"/>
      <w:r/>
      <w:bookmarkStart w:id="900" w:name="_Toc305158829"/>
      <w:r/>
      <w:bookmarkStart w:id="901" w:name="_Toc195842926"/>
      <w:r/>
      <w:bookmarkStart w:id="902" w:name="_Toc226309805"/>
      <w:r/>
      <w:bookmarkStart w:id="903" w:name="_Toc150774764"/>
      <w:r/>
      <w:bookmarkStart w:id="904" w:name="_Toc264969251"/>
      <w:r/>
      <w:bookmarkStart w:id="905" w:name="_Toc305158903"/>
      <w:r/>
      <w:bookmarkStart w:id="906" w:name="_Toc226965834"/>
      <w:r/>
      <w:bookmarkStart w:id="907" w:name="_Toc226337257"/>
      <w:r/>
      <w:bookmarkStart w:id="908" w:name="_Toc22696575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9"/>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4"/>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4"/>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4"/>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4"/>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4"/>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4"/>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4"/>
        <w:ind w:firstLine="420"/>
        <w:jc w:val="left"/>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ind w:right="360"/>
        <w:spacing w:line="360" w:lineRule="auto"/>
        <w:rPr>
          <w:rFonts w:ascii="宋体" w:hAnsi="宋体"/>
          <w:color w:val="000000"/>
          <w:sz w:val="24"/>
          <w:szCs w:val="20"/>
          <w:highlight w:val="none"/>
        </w:rPr>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4"/>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详见评分标准</w:t>
      </w:r>
      <w:r>
        <w:rPr>
          <w:rFonts w:ascii="宋体" w:hAnsi="宋体"/>
          <w:color w:val="000000"/>
          <w:sz w:val="24"/>
          <w:szCs w:val="20"/>
          <w:highlight w:val="none"/>
        </w:rPr>
      </w:r>
      <w:r/>
    </w:p>
    <w:p>
      <w:pPr>
        <w:pStyle w:val="1074"/>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4"/>
        <w:spacing w:line="360" w:lineRule="auto"/>
        <w:rPr>
          <w:rFonts w:ascii="宋体" w:hAnsi="宋体"/>
          <w:color w:val="000000"/>
          <w:sz w:val="22"/>
          <w:highlight w:val="none"/>
        </w:rPr>
      </w:pPr>
      <w:r>
        <w:rPr>
          <w:rFonts w:ascii="宋体" w:hAnsi="宋体"/>
          <w:color w:val="000000"/>
          <w:sz w:val="22"/>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9" w:name="_Toc288738397"/>
      <w:r/>
      <w:bookmarkStart w:id="910"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9"/>
      <w:r/>
      <w:bookmarkEnd w:id="910"/>
      <w:r>
        <w:rPr>
          <w:rFonts w:ascii="宋体" w:hAnsi="宋体"/>
          <w:b/>
          <w:color w:val="000000"/>
          <w:sz w:val="32"/>
          <w:szCs w:val="32"/>
          <w:highlight w:val="none"/>
        </w:rPr>
      </w:r>
      <w:r/>
    </w:p>
    <w:p>
      <w:pPr>
        <w:pStyle w:val="107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13</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4"/>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3">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4">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9">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0">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4"/>
        <w:ind w:left="1224" w:hanging="1224"/>
        <w:tabs>
          <w:tab w:val="num" w:pos="1224" w:leader="none"/>
        </w:tabs>
      </w:pPr>
    </w:lvl>
    <w:lvl w:ilvl="1">
      <w:start w:val="1"/>
      <w:numFmt w:val="decimal"/>
      <w:pStyle w:val="1328"/>
      <w:isLgl w:val="false"/>
      <w:suff w:val="tab"/>
      <w:lvlText w:val="%1.%2"/>
      <w:lvlJc w:val="left"/>
      <w:pPr>
        <w:pStyle w:val="1074"/>
        <w:ind w:left="1224" w:hanging="1224"/>
        <w:tabs>
          <w:tab w:val="num" w:pos="1224" w:leader="none"/>
        </w:tabs>
      </w:pPr>
      <w:rPr>
        <w:rFonts w:hint="eastAsia" w:ascii="宋体" w:hAnsi="宋体" w:eastAsia="宋体" w:cs="宋体"/>
        <w:b w:val="0"/>
        <w:bCs/>
        <w:i w:val="0"/>
        <w:iCs w:val="0"/>
        <w:caps w:val="0"/>
        <w:strike w:val="0"/>
        <w:color w:val="000000"/>
        <w:spacing w:val="0"/>
        <w:position w:val="0"/>
        <w:sz w:val="24"/>
        <w:szCs w:val="24"/>
        <w:u w:val="none"/>
      </w:rPr>
    </w:lvl>
    <w:lvl w:ilvl="2">
      <w:start w:val="1"/>
      <w:numFmt w:val="decimal"/>
      <w:isLgl w:val="false"/>
      <w:suff w:val="tab"/>
      <w:lvlText w:val="%1.%2.%3"/>
      <w:lvlJc w:val="left"/>
      <w:pPr>
        <w:pStyle w:val="1074"/>
        <w:ind w:left="1933" w:hanging="1224"/>
        <w:tabs>
          <w:tab w:val="num" w:pos="1933" w:leader="none"/>
        </w:tabs>
      </w:pPr>
      <w:rPr>
        <w:rFonts w:hint="eastAsia" w:ascii="宋体" w:hAnsi="宋体" w:eastAsia="宋体" w:cs="宋体"/>
        <w:b w:val="0"/>
        <w:sz w:val="24"/>
        <w:szCs w:val="24"/>
      </w:rPr>
    </w:lvl>
    <w:lvl w:ilvl="3">
      <w:start w:val="1"/>
      <w:numFmt w:val="decimal"/>
      <w:isLgl w:val="false"/>
      <w:suff w:val="tab"/>
      <w:lvlText w:val="%1.%2.%3.%4."/>
      <w:lvlJc w:val="left"/>
      <w:pPr>
        <w:pStyle w:val="1074"/>
        <w:ind w:left="1792" w:hanging="1225"/>
        <w:tabs>
          <w:tab w:val="num" w:pos="1792" w:leader="none"/>
        </w:tabs>
      </w:pPr>
      <w:rPr>
        <w:b w:val="0"/>
        <w:i w:val="0"/>
        <w:iCs w:val="0"/>
        <w:caps w:val="0"/>
        <w:strike w:val="0"/>
        <w:vanish w:val="0"/>
        <w:color w:val="000000"/>
        <w:spacing w:val="0"/>
        <w:position w:val="0"/>
        <w:u w:val="none"/>
      </w:rPr>
    </w:lvl>
    <w:lvl w:ilvl="4">
      <w:start w:val="1"/>
      <w:numFmt w:val="decimal"/>
      <w:isLgl w:val="false"/>
      <w:suff w:val="tab"/>
      <w:lvlText w:val="%1.%2.%3.%4.%5"/>
      <w:lvlJc w:val="left"/>
      <w:pPr>
        <w:pStyle w:val="1074"/>
        <w:ind w:left="2100" w:hanging="420"/>
        <w:tabs>
          <w:tab w:val="num" w:pos="2100" w:leader="none"/>
        </w:tabs>
      </w:pPr>
      <w:rPr>
        <w:b w:val="0"/>
        <w:sz w:val="24"/>
        <w:szCs w:val="24"/>
      </w:rPr>
    </w:lvl>
    <w:lvl w:ilvl="5">
      <w:start w:val="1"/>
      <w:numFmt w:val="lowerRoman"/>
      <w:isLgl w:val="false"/>
      <w:suff w:val="tab"/>
      <w:lvlText w:val="%6."/>
      <w:lvlJc w:val="right"/>
      <w:pPr>
        <w:pStyle w:val="1074"/>
        <w:ind w:left="2520" w:hanging="420"/>
        <w:tabs>
          <w:tab w:val="num" w:pos="2520" w:leader="none"/>
        </w:tabs>
      </w:pPr>
    </w:lvl>
    <w:lvl w:ilvl="6">
      <w:start w:val="1"/>
      <w:numFmt w:val="decimal"/>
      <w:isLgl w:val="false"/>
      <w:suff w:val="tab"/>
      <w:lvlText w:val="%7."/>
      <w:lvlJc w:val="left"/>
      <w:pPr>
        <w:pStyle w:val="1074"/>
        <w:ind w:left="2940" w:hanging="420"/>
        <w:tabs>
          <w:tab w:val="num" w:pos="2940" w:leader="none"/>
        </w:tabs>
      </w:pPr>
    </w:lvl>
    <w:lvl w:ilvl="7">
      <w:start w:val="1"/>
      <w:numFmt w:val="lowerLetter"/>
      <w:isLgl w:val="false"/>
      <w:suff w:val="tab"/>
      <w:lvlText w:val="%8)"/>
      <w:lvlJc w:val="left"/>
      <w:pPr>
        <w:pStyle w:val="1074"/>
        <w:ind w:left="3360" w:hanging="420"/>
        <w:tabs>
          <w:tab w:val="num" w:pos="3360" w:leader="none"/>
        </w:tabs>
      </w:pPr>
    </w:lvl>
    <w:lvl w:ilvl="8">
      <w:start w:val="1"/>
      <w:numFmt w:val="lowerRoman"/>
      <w:isLgl w:val="false"/>
      <w:suff w:val="tab"/>
      <w:lvlText w:val="%9."/>
      <w:lvlJc w:val="right"/>
      <w:pPr>
        <w:pStyle w:val="1074"/>
        <w:ind w:left="3780" w:hanging="420"/>
        <w:tabs>
          <w:tab w:val="num" w:pos="3780" w:leader="none"/>
        </w:tabs>
      </w:pPr>
    </w:lvl>
  </w:abstractNum>
  <w:abstractNum w:abstractNumId="14">
    <w:multiLevelType w:val="hybridMultilevel"/>
    <w:lvl w:ilvl="0">
      <w:start w:val="1"/>
      <w:numFmt w:val="decimal"/>
      <w:isLgl w:val="false"/>
      <w:suff w:val="tab"/>
      <w:lvlText w:val="%1."/>
      <w:lvlJc w:val="left"/>
      <w:pPr>
        <w:pStyle w:val="1074"/>
        <w:ind w:left="205" w:hanging="322"/>
      </w:pPr>
      <w:rPr>
        <w:rFonts w:ascii="仿宋" w:hAnsi="仿宋" w:eastAsia="仿宋" w:cs="仿宋"/>
        <w:spacing w:val="-46"/>
        <w:sz w:val="30"/>
        <w:szCs w:val="30"/>
      </w:r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13"/>
  </w:num>
  <w:num w:numId="9">
    <w:abstractNumId w:val="0"/>
  </w:num>
  <w:num w:numId="10">
    <w:abstractNumId w:val="7"/>
  </w:num>
  <w:num w:numId="11">
    <w:abstractNumId w:val="11"/>
  </w:num>
  <w:num w:numId="12">
    <w:abstractNumId w:val="1"/>
  </w:num>
  <w:num w:numId="13">
    <w:abstractNumId w:val="12"/>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88"/>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088"/>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出段落 字符"/>
    <w:next w:val="1167"/>
    <w:link w:val="1168"/>
    <w:uiPriority w:val="34"/>
    <w:qFormat/>
    <w:rPr>
      <w:rFonts w:ascii="Calibri" w:hAnsi="Calibri" w:eastAsia="宋体"/>
      <w:sz w:val="21"/>
      <w:szCs w:val="22"/>
      <w:lang w:val="en-US" w:eastAsia="zh-CN" w:bidi="ar-SA"/>
    </w:rPr>
  </w:style>
  <w:style w:type="paragraph" w:styleId="1168">
    <w:name w:val="列出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328">
    <w:name w:val="标2"/>
    <w:basedOn w:val="1074"/>
    <w:next w:val="1328"/>
    <w:link w:val="1074"/>
    <w:qFormat/>
    <w:pPr>
      <w:numPr>
        <w:ilvl w:val="1"/>
        <w:numId w:val="8"/>
      </w:numPr>
      <w:ind w:left="1224" w:right="0" w:hanging="1224"/>
      <w:jc w:val="both"/>
      <w:keepLines w:val="0"/>
      <w:keepNext w:val="0"/>
      <w:spacing w:before="0" w:beforeAutospacing="0" w:after="0" w:afterAutospacing="0" w:line="240" w:lineRule="atLeast"/>
      <w:widowControl w:val="off"/>
      <w:tabs>
        <w:tab w:val="left" w:pos="1224" w:leader="none"/>
      </w:tabs>
      <w:outlineLvl w:val="1"/>
      <w:suppressLineNumbers w:val="0"/>
    </w:pPr>
    <w:rPr>
      <w:rFonts w:hint="eastAsia" w:ascii="宋体" w:hAnsi="宋体" w:eastAsia="宋体" w:cs="Times New Roman"/>
      <w:b/>
      <w:sz w:val="24"/>
      <w:szCs w:val="24"/>
      <w:lang w:val="en-US" w:eastAsia="zh-CN" w:bidi="ar"/>
    </w:rPr>
  </w:style>
  <w:style w:type="paragraph" w:styleId="1329">
    <w:name w:val="标3"/>
    <w:basedOn w:val="1074"/>
    <w:next w:val="1329"/>
    <w:link w:val="1074"/>
    <w:qFormat/>
    <w:pPr>
      <w:ind w:left="1933" w:right="0" w:hanging="1224"/>
      <w:jc w:val="both"/>
      <w:keepLines w:val="0"/>
      <w:keepNext w:val="0"/>
      <w:spacing w:before="156" w:beforeAutospacing="0" w:after="0" w:afterAutospacing="0" w:line="240" w:lineRule="atLeast"/>
      <w:widowControl w:val="off"/>
      <w:tabs>
        <w:tab w:val="left" w:pos="1933" w:leader="none"/>
      </w:tabs>
      <w:outlineLvl w:val="2"/>
      <w:suppressLineNumbers w:val="0"/>
    </w:pPr>
    <w:rPr>
      <w:rFonts w:ascii="Arial Narrow" w:hAnsi="Arial Narrow" w:eastAsia="仿宋_GB2312" w:cs="宋体"/>
      <w:sz w:val="24"/>
      <w:szCs w:val="24"/>
      <w:lang w:val="en-US" w:eastAsia="zh-CN" w:bidi="ar"/>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3</cp:revision>
  <dcterms:created xsi:type="dcterms:W3CDTF">2022-05-30T08:08:00Z</dcterms:created>
  <dcterms:modified xsi:type="dcterms:W3CDTF">2025-12-04T01:17:17Z</dcterms:modified>
</cp:coreProperties>
</file>